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Layout w:type="fixed"/>
        <w:tblCellMar>
          <w:left w:w="0" w:type="dxa"/>
          <w:right w:w="0" w:type="dxa"/>
        </w:tblCellMar>
        <w:tblLook w:val="0000" w:firstRow="0" w:lastRow="0" w:firstColumn="0" w:lastColumn="0" w:noHBand="0" w:noVBand="0"/>
      </w:tblPr>
      <w:tblGrid>
        <w:gridCol w:w="5812"/>
        <w:gridCol w:w="3402"/>
      </w:tblGrid>
      <w:tr w:rsidR="009657BF" w:rsidRPr="007259FB" w14:paraId="4AB418FB" w14:textId="77777777" w:rsidTr="00012F8D">
        <w:trPr>
          <w:trHeight w:hRule="exact" w:val="1905"/>
        </w:trPr>
        <w:tc>
          <w:tcPr>
            <w:tcW w:w="5812" w:type="dxa"/>
            <w:shd w:val="clear" w:color="auto" w:fill="auto"/>
          </w:tcPr>
          <w:p w14:paraId="4AB418F5" w14:textId="77777777" w:rsidR="009657BF" w:rsidRPr="007259FB" w:rsidRDefault="00C91B0F" w:rsidP="004F77D1">
            <w:pPr>
              <w:widowControl w:val="0"/>
              <w:suppressLineNumbers/>
              <w:suppressAutoHyphens/>
              <w:spacing w:after="0" w:line="238" w:lineRule="exact"/>
              <w:jc w:val="both"/>
              <w:rPr>
                <w:rFonts w:eastAsia="SimSun" w:cstheme="minorHAnsi"/>
                <w:b/>
                <w:kern w:val="1"/>
                <w:lang w:eastAsia="zh-CN" w:bidi="hi-IN"/>
              </w:rPr>
            </w:pPr>
            <w:r w:rsidRPr="007259FB">
              <w:rPr>
                <w:rFonts w:eastAsia="SimSun" w:cstheme="minorHAnsi"/>
                <w:b/>
                <w:noProof/>
                <w:kern w:val="1"/>
                <w:lang w:eastAsia="et-EE"/>
              </w:rPr>
              <w:drawing>
                <wp:anchor distT="0" distB="0" distL="114300" distR="114300" simplePos="0" relativeHeight="251658240" behindDoc="0" locked="0" layoutInCell="1" allowOverlap="1" wp14:anchorId="4AB41922" wp14:editId="4AB41923">
                  <wp:simplePos x="0" y="0"/>
                  <wp:positionH relativeFrom="page">
                    <wp:posOffset>-864235</wp:posOffset>
                  </wp:positionH>
                  <wp:positionV relativeFrom="page">
                    <wp:posOffset>-144145</wp:posOffset>
                  </wp:positionV>
                  <wp:extent cx="2944800" cy="961200"/>
                  <wp:effectExtent l="0" t="0" r="0" b="0"/>
                  <wp:wrapNone/>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OM_vapiga_logo.png"/>
                          <pic:cNvPicPr/>
                        </pic:nvPicPr>
                        <pic:blipFill>
                          <a:blip r:embed="rId7">
                            <a:extLst>
                              <a:ext uri="{28A0092B-C50C-407E-A947-70E740481C1C}">
                                <a14:useLocalDpi xmlns:a14="http://schemas.microsoft.com/office/drawing/2010/main" val="0"/>
                              </a:ext>
                            </a:extLst>
                          </a:blip>
                          <a:stretch>
                            <a:fillRect/>
                          </a:stretch>
                        </pic:blipFill>
                        <pic:spPr>
                          <a:xfrm>
                            <a:off x="0" y="0"/>
                            <a:ext cx="2944800" cy="961200"/>
                          </a:xfrm>
                          <a:prstGeom prst="rect">
                            <a:avLst/>
                          </a:prstGeom>
                        </pic:spPr>
                      </pic:pic>
                    </a:graphicData>
                  </a:graphic>
                  <wp14:sizeRelH relativeFrom="margin">
                    <wp14:pctWidth>0</wp14:pctWidth>
                  </wp14:sizeRelH>
                  <wp14:sizeRelV relativeFrom="margin">
                    <wp14:pctHeight>0</wp14:pctHeight>
                  </wp14:sizeRelV>
                </wp:anchor>
              </w:drawing>
            </w:r>
          </w:p>
        </w:tc>
        <w:tc>
          <w:tcPr>
            <w:tcW w:w="3402" w:type="dxa"/>
            <w:shd w:val="clear" w:color="auto" w:fill="auto"/>
          </w:tcPr>
          <w:p w14:paraId="4AB418F6" w14:textId="77777777" w:rsidR="009657BF" w:rsidRPr="007259FB" w:rsidRDefault="009657BF" w:rsidP="004F77D1">
            <w:pPr>
              <w:widowControl w:val="0"/>
              <w:suppressAutoHyphens/>
              <w:spacing w:after="0" w:line="240" w:lineRule="auto"/>
              <w:ind w:right="-225"/>
              <w:rPr>
                <w:rFonts w:eastAsia="SimSun" w:cstheme="minorHAnsi"/>
                <w:kern w:val="1"/>
                <w:lang w:eastAsia="zh-CN" w:bidi="hi-IN"/>
              </w:rPr>
            </w:pPr>
            <w:r w:rsidRPr="007259FB">
              <w:rPr>
                <w:rFonts w:eastAsia="SimSun" w:cstheme="minorHAnsi"/>
                <w:kern w:val="1"/>
                <w:lang w:eastAsia="zh-CN" w:bidi="hi-IN"/>
              </w:rPr>
              <w:t>/*ASUTUSESISESEKS KASUTAMISEKS</w:t>
            </w:r>
          </w:p>
          <w:p w14:paraId="4AB418F7" w14:textId="37BA4C99" w:rsidR="009657BF" w:rsidRPr="007259FB" w:rsidRDefault="009657BF" w:rsidP="004F77D1">
            <w:pPr>
              <w:widowControl w:val="0"/>
              <w:suppressAutoHyphens/>
              <w:spacing w:after="0" w:line="240" w:lineRule="auto"/>
              <w:ind w:right="-225"/>
              <w:rPr>
                <w:rFonts w:cstheme="minorHAnsi"/>
              </w:rPr>
            </w:pPr>
            <w:r w:rsidRPr="007259FB">
              <w:rPr>
                <w:rFonts w:cstheme="minorHAnsi"/>
              </w:rPr>
              <w:t xml:space="preserve">Märge tehtud: </w:t>
            </w:r>
            <w:r w:rsidR="00CE28C2">
              <w:rPr>
                <w:rFonts w:cstheme="minorHAnsi"/>
              </w:rPr>
              <w:t>05</w:t>
            </w:r>
            <w:r w:rsidR="002E7E11" w:rsidRPr="007259FB">
              <w:rPr>
                <w:rFonts w:cstheme="minorHAnsi"/>
              </w:rPr>
              <w:t>.</w:t>
            </w:r>
            <w:r w:rsidR="00CE28C2">
              <w:rPr>
                <w:rFonts w:cstheme="minorHAnsi"/>
              </w:rPr>
              <w:t>01</w:t>
            </w:r>
            <w:r w:rsidR="002E7E11" w:rsidRPr="007259FB">
              <w:rPr>
                <w:rFonts w:cstheme="minorHAnsi"/>
              </w:rPr>
              <w:t>.202</w:t>
            </w:r>
            <w:r w:rsidR="00CE28C2">
              <w:rPr>
                <w:rFonts w:cstheme="minorHAnsi"/>
              </w:rPr>
              <w:t>4</w:t>
            </w:r>
          </w:p>
          <w:p w14:paraId="4AB418F8" w14:textId="46B19047" w:rsidR="009657BF" w:rsidRPr="007259FB" w:rsidRDefault="009657BF" w:rsidP="004F77D1">
            <w:pPr>
              <w:widowControl w:val="0"/>
              <w:suppressAutoHyphens/>
              <w:spacing w:after="0" w:line="240" w:lineRule="auto"/>
              <w:ind w:right="-225"/>
              <w:rPr>
                <w:rFonts w:cstheme="minorHAnsi"/>
              </w:rPr>
            </w:pPr>
            <w:r w:rsidRPr="007259FB">
              <w:rPr>
                <w:rFonts w:cstheme="minorHAnsi"/>
              </w:rPr>
              <w:t xml:space="preserve">Kehtib kuni: </w:t>
            </w:r>
            <w:r w:rsidRPr="007259FB">
              <w:rPr>
                <w:rFonts w:cstheme="minorHAnsi"/>
              </w:rPr>
              <w:fldChar w:fldCharType="begin"/>
            </w:r>
            <w:r w:rsidR="002A5C82" w:rsidRPr="007259FB">
              <w:rPr>
                <w:rFonts w:cstheme="minorHAnsi"/>
              </w:rPr>
              <w:instrText xml:space="preserve"> delta_accessRestrictionEndDate  \* MERGEFORMAT</w:instrText>
            </w:r>
            <w:r w:rsidRPr="007259FB">
              <w:rPr>
                <w:rFonts w:cstheme="minorHAnsi"/>
              </w:rPr>
              <w:fldChar w:fldCharType="separate"/>
            </w:r>
            <w:r w:rsidR="00CE28C2">
              <w:rPr>
                <w:rFonts w:cstheme="minorHAnsi"/>
              </w:rPr>
              <w:t>05.01.</w:t>
            </w:r>
            <w:r w:rsidRPr="007259FB">
              <w:rPr>
                <w:rFonts w:cstheme="minorHAnsi"/>
              </w:rPr>
              <w:fldChar w:fldCharType="end"/>
            </w:r>
            <w:r w:rsidR="00CE28C2">
              <w:rPr>
                <w:rFonts w:cstheme="minorHAnsi"/>
              </w:rPr>
              <w:t>2029</w:t>
            </w:r>
          </w:p>
          <w:p w14:paraId="4AB418F9" w14:textId="77777777" w:rsidR="009657BF" w:rsidRPr="007259FB" w:rsidRDefault="009657BF" w:rsidP="004F77D1">
            <w:pPr>
              <w:widowControl w:val="0"/>
              <w:suppressAutoHyphens/>
              <w:spacing w:after="0" w:line="240" w:lineRule="auto"/>
              <w:ind w:right="-225"/>
              <w:rPr>
                <w:rFonts w:cstheme="minorHAnsi"/>
              </w:rPr>
            </w:pPr>
            <w:r w:rsidRPr="007259FB">
              <w:rPr>
                <w:rFonts w:cstheme="minorHAnsi"/>
              </w:rPr>
              <w:t xml:space="preserve">Alus: </w:t>
            </w:r>
            <w:r w:rsidRPr="007259FB">
              <w:rPr>
                <w:rFonts w:cstheme="minorHAnsi"/>
              </w:rPr>
              <w:fldChar w:fldCharType="begin"/>
            </w:r>
            <w:r w:rsidR="002A5C82" w:rsidRPr="007259FB">
              <w:rPr>
                <w:rFonts w:cstheme="minorHAnsi"/>
              </w:rPr>
              <w:instrText xml:space="preserve"> delta_accessRestrictionReason  \* MERGEFORMAT</w:instrText>
            </w:r>
            <w:r w:rsidRPr="007259FB">
              <w:rPr>
                <w:rFonts w:cstheme="minorHAnsi"/>
              </w:rPr>
              <w:fldChar w:fldCharType="separate"/>
            </w:r>
            <w:proofErr w:type="spellStart"/>
            <w:r w:rsidR="002A5C82" w:rsidRPr="007259FB">
              <w:rPr>
                <w:rFonts w:cstheme="minorHAnsi"/>
              </w:rPr>
              <w:t>AvTS</w:t>
            </w:r>
            <w:proofErr w:type="spellEnd"/>
            <w:r w:rsidR="002A5C82" w:rsidRPr="007259FB">
              <w:rPr>
                <w:rFonts w:cstheme="minorHAnsi"/>
              </w:rPr>
              <w:t xml:space="preserve"> § 35 lg 2 p 3</w:t>
            </w:r>
            <w:r w:rsidRPr="007259FB">
              <w:rPr>
                <w:rFonts w:cstheme="minorHAnsi"/>
              </w:rPr>
              <w:fldChar w:fldCharType="end"/>
            </w:r>
          </w:p>
          <w:p w14:paraId="4AB418FA" w14:textId="77777777" w:rsidR="009657BF" w:rsidRPr="007259FB" w:rsidRDefault="009657BF" w:rsidP="004F77D1">
            <w:pPr>
              <w:widowControl w:val="0"/>
              <w:suppressAutoHyphens/>
              <w:spacing w:after="0" w:line="240" w:lineRule="auto"/>
              <w:ind w:right="-225"/>
              <w:rPr>
                <w:rFonts w:eastAsia="SimSun" w:cstheme="minorHAnsi"/>
                <w:kern w:val="1"/>
                <w:lang w:eastAsia="zh-CN" w:bidi="hi-IN"/>
              </w:rPr>
            </w:pPr>
            <w:r w:rsidRPr="007259FB">
              <w:rPr>
                <w:rFonts w:cstheme="minorHAnsi"/>
              </w:rPr>
              <w:t>Teabevaldaja: Sotsiaalministeerium*/</w:t>
            </w:r>
          </w:p>
        </w:tc>
      </w:tr>
      <w:tr w:rsidR="009657BF" w:rsidRPr="007259FB" w14:paraId="4AB41900" w14:textId="77777777" w:rsidTr="00012F8D">
        <w:trPr>
          <w:trHeight w:val="2336"/>
        </w:trPr>
        <w:tc>
          <w:tcPr>
            <w:tcW w:w="5812" w:type="dxa"/>
            <w:shd w:val="clear" w:color="auto" w:fill="auto"/>
          </w:tcPr>
          <w:p w14:paraId="4AB418FE" w14:textId="2541781D" w:rsidR="009657BF" w:rsidRPr="007259FB" w:rsidRDefault="00012F8D" w:rsidP="00C5378E">
            <w:pPr>
              <w:spacing w:after="0" w:line="240" w:lineRule="auto"/>
              <w:rPr>
                <w:rFonts w:cstheme="minorHAnsi"/>
                <w:b/>
                <w:bCs/>
              </w:rPr>
            </w:pPr>
            <w:r w:rsidRPr="007259FB">
              <w:rPr>
                <w:rFonts w:cstheme="minorHAnsi"/>
                <w:b/>
                <w:bCs/>
                <w:color w:val="000000" w:themeColor="text1"/>
              </w:rPr>
              <w:t xml:space="preserve">Sotsiaalministeeriumi </w:t>
            </w:r>
            <w:r w:rsidR="00C5378E" w:rsidRPr="007259FB">
              <w:rPr>
                <w:rFonts w:cstheme="minorHAnsi"/>
                <w:b/>
                <w:bCs/>
                <w:color w:val="000000" w:themeColor="text1"/>
              </w:rPr>
              <w:t>s</w:t>
            </w:r>
            <w:r w:rsidRPr="007259FB">
              <w:rPr>
                <w:rFonts w:cstheme="minorHAnsi"/>
                <w:b/>
                <w:bCs/>
                <w:color w:val="000000" w:themeColor="text1"/>
              </w:rPr>
              <w:t>otsiaal- ja töövaldkonna uuringute ja analüüside ajutise eetikakomitee</w:t>
            </w:r>
            <w:r w:rsidR="00C5378E" w:rsidRPr="007259FB">
              <w:rPr>
                <w:rFonts w:cstheme="minorHAnsi"/>
                <w:b/>
                <w:bCs/>
                <w:color w:val="000000" w:themeColor="text1"/>
              </w:rPr>
              <w:t xml:space="preserve"> </w:t>
            </w:r>
            <w:r w:rsidR="00C5378E" w:rsidRPr="007259FB">
              <w:rPr>
                <w:rFonts w:cstheme="minorHAnsi"/>
                <w:b/>
                <w:bCs/>
              </w:rPr>
              <w:t>elektroonilise koosoleku protokoll</w:t>
            </w:r>
            <w:r w:rsidRPr="007259FB">
              <w:rPr>
                <w:rFonts w:cstheme="minorHAnsi"/>
                <w:b/>
                <w:bCs/>
              </w:rPr>
              <w:t xml:space="preserve"> nr </w:t>
            </w:r>
            <w:r w:rsidR="008410A7" w:rsidRPr="007259FB">
              <w:rPr>
                <w:rFonts w:cstheme="minorHAnsi"/>
                <w:b/>
                <w:bCs/>
              </w:rPr>
              <w:t>1</w:t>
            </w:r>
            <w:r w:rsidR="006064F6">
              <w:rPr>
                <w:rFonts w:cstheme="minorHAnsi"/>
                <w:b/>
                <w:bCs/>
              </w:rPr>
              <w:t>4</w:t>
            </w:r>
          </w:p>
        </w:tc>
        <w:tc>
          <w:tcPr>
            <w:tcW w:w="3402" w:type="dxa"/>
            <w:shd w:val="clear" w:color="auto" w:fill="auto"/>
          </w:tcPr>
          <w:p w14:paraId="4AB418FF" w14:textId="145A67FE" w:rsidR="009657BF" w:rsidRPr="007259FB" w:rsidRDefault="00034088" w:rsidP="002E7E11">
            <w:pPr>
              <w:spacing w:before="720" w:after="0" w:line="240" w:lineRule="auto"/>
              <w:rPr>
                <w:rFonts w:cstheme="minorHAnsi"/>
              </w:rPr>
            </w:pPr>
            <w:r w:rsidRPr="007259FB">
              <w:rPr>
                <w:rFonts w:cstheme="minorHAnsi"/>
              </w:rPr>
              <w:t xml:space="preserve">                                  </w:t>
            </w:r>
            <w:r w:rsidR="00C5378E" w:rsidRPr="007259FB">
              <w:rPr>
                <w:rFonts w:cstheme="minorHAnsi"/>
              </w:rPr>
              <w:t xml:space="preserve">       </w:t>
            </w:r>
            <w:r w:rsidR="00CE28C2">
              <w:rPr>
                <w:rFonts w:cstheme="minorHAnsi"/>
              </w:rPr>
              <w:t>05</w:t>
            </w:r>
            <w:r w:rsidR="002E7E11" w:rsidRPr="007259FB">
              <w:rPr>
                <w:rFonts w:cstheme="minorHAnsi"/>
              </w:rPr>
              <w:t>.</w:t>
            </w:r>
            <w:r w:rsidR="00CE28C2">
              <w:rPr>
                <w:rFonts w:cstheme="minorHAnsi"/>
              </w:rPr>
              <w:t>01</w:t>
            </w:r>
            <w:r w:rsidR="002E7E11" w:rsidRPr="007259FB">
              <w:rPr>
                <w:rFonts w:cstheme="minorHAnsi"/>
              </w:rPr>
              <w:t>.202</w:t>
            </w:r>
            <w:r w:rsidR="00677519">
              <w:rPr>
                <w:rFonts w:cstheme="minorHAnsi"/>
              </w:rPr>
              <w:t>4</w:t>
            </w:r>
          </w:p>
        </w:tc>
      </w:tr>
    </w:tbl>
    <w:p w14:paraId="4AB41904" w14:textId="7EE18C13" w:rsidR="004F57C0" w:rsidRPr="007259FB" w:rsidRDefault="004F57C0" w:rsidP="004F57C0">
      <w:pPr>
        <w:tabs>
          <w:tab w:val="left" w:pos="1276"/>
        </w:tabs>
        <w:spacing w:after="0" w:line="240" w:lineRule="auto"/>
        <w:rPr>
          <w:rFonts w:cstheme="minorHAnsi"/>
        </w:rPr>
      </w:pPr>
      <w:r w:rsidRPr="007259FB">
        <w:rPr>
          <w:rFonts w:cstheme="minorHAnsi"/>
        </w:rPr>
        <w:t>Juhatas:</w:t>
      </w:r>
      <w:r w:rsidR="00012F8D" w:rsidRPr="007259FB">
        <w:rPr>
          <w:rFonts w:cstheme="minorHAnsi"/>
        </w:rPr>
        <w:t xml:space="preserve"> Kristi Rüütel</w:t>
      </w:r>
      <w:r w:rsidRPr="007259FB">
        <w:rPr>
          <w:rFonts w:cstheme="minorHAnsi"/>
        </w:rPr>
        <w:tab/>
      </w:r>
    </w:p>
    <w:p w14:paraId="4EECF5FB" w14:textId="05D3E528" w:rsidR="00012F8D" w:rsidRPr="007259FB" w:rsidRDefault="004F57C0" w:rsidP="004F57C0">
      <w:pPr>
        <w:tabs>
          <w:tab w:val="left" w:pos="1276"/>
        </w:tabs>
        <w:spacing w:after="0" w:line="240" w:lineRule="auto"/>
        <w:rPr>
          <w:rFonts w:cstheme="minorHAnsi"/>
        </w:rPr>
      </w:pPr>
      <w:r w:rsidRPr="007259FB">
        <w:rPr>
          <w:rFonts w:cstheme="minorHAnsi"/>
        </w:rPr>
        <w:t>Protokollis:</w:t>
      </w:r>
      <w:r w:rsidR="002E7E11" w:rsidRPr="007259FB">
        <w:rPr>
          <w:rFonts w:cstheme="minorHAnsi"/>
        </w:rPr>
        <w:t xml:space="preserve"> </w:t>
      </w:r>
      <w:r w:rsidR="00B237E8" w:rsidRPr="007259FB">
        <w:rPr>
          <w:rFonts w:cstheme="minorHAnsi"/>
        </w:rPr>
        <w:t>Mari</w:t>
      </w:r>
      <w:r w:rsidR="00555C3B">
        <w:rPr>
          <w:rFonts w:cstheme="minorHAnsi"/>
        </w:rPr>
        <w:t>on Pajumets</w:t>
      </w:r>
    </w:p>
    <w:p w14:paraId="4AB41906" w14:textId="6714F16F" w:rsidR="004F57C0" w:rsidRPr="007259FB" w:rsidRDefault="004F57C0" w:rsidP="004F57C0">
      <w:pPr>
        <w:tabs>
          <w:tab w:val="left" w:pos="1276"/>
        </w:tabs>
        <w:spacing w:after="0" w:line="240" w:lineRule="auto"/>
        <w:rPr>
          <w:rFonts w:cstheme="minorHAnsi"/>
        </w:rPr>
      </w:pPr>
      <w:r w:rsidRPr="007259FB">
        <w:rPr>
          <w:rFonts w:cstheme="minorHAnsi"/>
        </w:rPr>
        <w:t>Võtsid osa:</w:t>
      </w:r>
      <w:r w:rsidR="002E7E11" w:rsidRPr="007259FB">
        <w:rPr>
          <w:rFonts w:cstheme="minorHAnsi"/>
        </w:rPr>
        <w:t xml:space="preserve"> </w:t>
      </w:r>
      <w:r w:rsidR="00012F8D" w:rsidRPr="007259FB">
        <w:rPr>
          <w:rFonts w:cstheme="minorHAnsi"/>
        </w:rPr>
        <w:t>Rein Murakas, Marge Unt</w:t>
      </w:r>
    </w:p>
    <w:p w14:paraId="4AB41907" w14:textId="47EA2631" w:rsidR="004F57C0" w:rsidRPr="007259FB" w:rsidRDefault="004F57C0" w:rsidP="004F57C0">
      <w:pPr>
        <w:tabs>
          <w:tab w:val="left" w:pos="1276"/>
        </w:tabs>
        <w:spacing w:after="0" w:line="240" w:lineRule="auto"/>
        <w:rPr>
          <w:rFonts w:cstheme="minorHAnsi"/>
        </w:rPr>
      </w:pPr>
      <w:r w:rsidRPr="007259FB">
        <w:rPr>
          <w:rFonts w:cstheme="minorHAnsi"/>
        </w:rPr>
        <w:t>Puudus(id):</w:t>
      </w:r>
      <w:r w:rsidR="00034088" w:rsidRPr="007259FB">
        <w:rPr>
          <w:rFonts w:cstheme="minorHAnsi"/>
        </w:rPr>
        <w:t xml:space="preserve"> </w:t>
      </w:r>
      <w:r w:rsidR="00C5378E" w:rsidRPr="007259FB">
        <w:rPr>
          <w:rFonts w:cstheme="minorHAnsi"/>
        </w:rPr>
        <w:t>–</w:t>
      </w:r>
    </w:p>
    <w:p w14:paraId="1AA7E6FA" w14:textId="297F1F45" w:rsidR="00012F8D" w:rsidRPr="007259FB" w:rsidRDefault="004F57C0" w:rsidP="004F57C0">
      <w:pPr>
        <w:tabs>
          <w:tab w:val="left" w:pos="1276"/>
        </w:tabs>
        <w:spacing w:after="0" w:line="240" w:lineRule="auto"/>
        <w:rPr>
          <w:rFonts w:cstheme="minorHAnsi"/>
        </w:rPr>
      </w:pPr>
      <w:r w:rsidRPr="007259FB">
        <w:rPr>
          <w:rFonts w:cstheme="minorHAnsi"/>
        </w:rPr>
        <w:t>Kutsutud:</w:t>
      </w:r>
      <w:r w:rsidR="00012F8D" w:rsidRPr="007259FB">
        <w:rPr>
          <w:rFonts w:cstheme="minorHAnsi"/>
        </w:rPr>
        <w:t xml:space="preserve"> Rein Murakas, Marge Unt, Kristi Rüütel</w:t>
      </w:r>
    </w:p>
    <w:p w14:paraId="6AEFD020" w14:textId="77777777" w:rsidR="00012F8D" w:rsidRPr="007259FB" w:rsidRDefault="00012F8D" w:rsidP="004F57C0">
      <w:pPr>
        <w:tabs>
          <w:tab w:val="left" w:pos="1276"/>
        </w:tabs>
        <w:spacing w:after="0" w:line="240" w:lineRule="auto"/>
        <w:rPr>
          <w:rFonts w:cstheme="minorHAnsi"/>
        </w:rPr>
      </w:pPr>
    </w:p>
    <w:p w14:paraId="4AB41908" w14:textId="3E88AE7A" w:rsidR="004F57C0" w:rsidRPr="007259FB" w:rsidRDefault="00012F8D" w:rsidP="004F57C0">
      <w:pPr>
        <w:tabs>
          <w:tab w:val="left" w:pos="1276"/>
        </w:tabs>
        <w:spacing w:after="0" w:line="240" w:lineRule="auto"/>
        <w:rPr>
          <w:rFonts w:cstheme="minorHAnsi"/>
        </w:rPr>
      </w:pPr>
      <w:r w:rsidRPr="007259FB">
        <w:rPr>
          <w:rFonts w:cstheme="minorHAnsi"/>
        </w:rPr>
        <w:t xml:space="preserve">Koosolek toimus ajavahemikus </w:t>
      </w:r>
      <w:r w:rsidR="006064F6">
        <w:rPr>
          <w:rFonts w:cstheme="minorHAnsi"/>
        </w:rPr>
        <w:t>04.12</w:t>
      </w:r>
      <w:r w:rsidR="00917691">
        <w:rPr>
          <w:rFonts w:cstheme="minorHAnsi"/>
        </w:rPr>
        <w:t>.202</w:t>
      </w:r>
      <w:r w:rsidR="006064F6">
        <w:rPr>
          <w:rFonts w:cstheme="minorHAnsi"/>
        </w:rPr>
        <w:t>3</w:t>
      </w:r>
      <w:r w:rsidRPr="007259FB">
        <w:rPr>
          <w:rFonts w:cstheme="minorHAnsi"/>
        </w:rPr>
        <w:t xml:space="preserve"> </w:t>
      </w:r>
      <w:r w:rsidR="006064F6">
        <w:rPr>
          <w:rFonts w:cstheme="minorHAnsi"/>
        </w:rPr>
        <w:t>–</w:t>
      </w:r>
      <w:r w:rsidRPr="007259FB">
        <w:rPr>
          <w:rFonts w:cstheme="minorHAnsi"/>
        </w:rPr>
        <w:t xml:space="preserve"> </w:t>
      </w:r>
      <w:r w:rsidR="006064F6">
        <w:rPr>
          <w:rFonts w:cstheme="minorHAnsi"/>
        </w:rPr>
        <w:t>28.12</w:t>
      </w:r>
      <w:r w:rsidRPr="00917691">
        <w:rPr>
          <w:rFonts w:cstheme="minorHAnsi"/>
        </w:rPr>
        <w:t>.202</w:t>
      </w:r>
      <w:r w:rsidR="006064F6">
        <w:rPr>
          <w:rFonts w:cstheme="minorHAnsi"/>
        </w:rPr>
        <w:t>3</w:t>
      </w:r>
      <w:r w:rsidRPr="00917691">
        <w:rPr>
          <w:rFonts w:cstheme="minorHAnsi"/>
        </w:rPr>
        <w:t xml:space="preserve"> </w:t>
      </w:r>
      <w:r w:rsidRPr="007259FB">
        <w:rPr>
          <w:rFonts w:cstheme="minorHAnsi"/>
        </w:rPr>
        <w:t xml:space="preserve">e-kirjade teel. </w:t>
      </w:r>
    </w:p>
    <w:p w14:paraId="4AB41909" w14:textId="77777777" w:rsidR="002170CC" w:rsidRPr="007259FB" w:rsidRDefault="002170CC" w:rsidP="004F57C0">
      <w:pPr>
        <w:tabs>
          <w:tab w:val="left" w:pos="1276"/>
        </w:tabs>
        <w:spacing w:after="0" w:line="240" w:lineRule="auto"/>
        <w:rPr>
          <w:rFonts w:cstheme="minorHAnsi"/>
        </w:rPr>
      </w:pPr>
    </w:p>
    <w:p w14:paraId="4AB4190A" w14:textId="77777777" w:rsidR="002170CC" w:rsidRPr="007259FB" w:rsidRDefault="002170CC" w:rsidP="002170CC">
      <w:pPr>
        <w:tabs>
          <w:tab w:val="left" w:pos="1276"/>
        </w:tabs>
        <w:spacing w:after="0" w:line="240" w:lineRule="auto"/>
        <w:rPr>
          <w:rFonts w:cstheme="minorHAnsi"/>
          <w:b/>
        </w:rPr>
      </w:pPr>
      <w:r w:rsidRPr="007259FB">
        <w:rPr>
          <w:rFonts w:cstheme="minorHAnsi"/>
          <w:b/>
        </w:rPr>
        <w:t>PÄEVAKORD:</w:t>
      </w:r>
    </w:p>
    <w:p w14:paraId="1C6F9416" w14:textId="12881184" w:rsidR="00012F8D" w:rsidRPr="00DE04D7" w:rsidRDefault="002170CC" w:rsidP="00012F8D">
      <w:pPr>
        <w:tabs>
          <w:tab w:val="left" w:pos="284"/>
        </w:tabs>
        <w:spacing w:after="0" w:line="240" w:lineRule="auto"/>
        <w:rPr>
          <w:rFonts w:cstheme="minorHAnsi"/>
        </w:rPr>
      </w:pPr>
      <w:r w:rsidRPr="007259FB">
        <w:rPr>
          <w:rFonts w:cstheme="minorHAnsi"/>
          <w:bCs/>
        </w:rPr>
        <w:t>1.</w:t>
      </w:r>
      <w:r w:rsidRPr="007259FB">
        <w:rPr>
          <w:rFonts w:cstheme="minorHAnsi"/>
          <w:bCs/>
        </w:rPr>
        <w:tab/>
      </w:r>
      <w:r w:rsidR="00012F8D" w:rsidRPr="007259FB">
        <w:rPr>
          <w:rFonts w:cstheme="minorHAnsi"/>
        </w:rPr>
        <w:t xml:space="preserve">Hinnang taotlusele </w:t>
      </w:r>
      <w:r w:rsidR="00034088" w:rsidRPr="007259FB">
        <w:rPr>
          <w:rFonts w:cstheme="minorHAnsi"/>
        </w:rPr>
        <w:t>"</w:t>
      </w:r>
      <w:bookmarkStart w:id="0" w:name="_Hlk155368741"/>
      <w:r w:rsidR="006064F6">
        <w:t>Lasteabitelefoni 116 111 tulemuslikkuse uuring</w:t>
      </w:r>
      <w:bookmarkEnd w:id="0"/>
      <w:r w:rsidR="00034088" w:rsidRPr="007259FB">
        <w:rPr>
          <w:rFonts w:cstheme="minorHAnsi"/>
        </w:rPr>
        <w:t>".</w:t>
      </w:r>
    </w:p>
    <w:p w14:paraId="7F90E063" w14:textId="77777777" w:rsidR="00012F8D" w:rsidRPr="00DE04D7" w:rsidRDefault="00012F8D" w:rsidP="00012F8D">
      <w:pPr>
        <w:tabs>
          <w:tab w:val="left" w:pos="284"/>
        </w:tabs>
        <w:spacing w:after="0" w:line="240" w:lineRule="auto"/>
        <w:rPr>
          <w:rFonts w:cstheme="minorHAnsi"/>
        </w:rPr>
      </w:pPr>
    </w:p>
    <w:p w14:paraId="73FD3258" w14:textId="47D28C35" w:rsidR="00012F8D" w:rsidRPr="00DE04D7" w:rsidRDefault="00012F8D" w:rsidP="00012F8D">
      <w:pPr>
        <w:tabs>
          <w:tab w:val="left" w:pos="284"/>
        </w:tabs>
        <w:spacing w:after="0" w:line="240" w:lineRule="auto"/>
        <w:rPr>
          <w:rFonts w:cstheme="minorHAnsi"/>
        </w:rPr>
      </w:pPr>
      <w:r w:rsidRPr="00DE04D7">
        <w:rPr>
          <w:rFonts w:cstheme="minorHAnsi"/>
        </w:rPr>
        <w:t xml:space="preserve">Eetikakomitee hindas </w:t>
      </w:r>
      <w:r w:rsidR="00C5378E" w:rsidRPr="00DE04D7">
        <w:rPr>
          <w:rFonts w:cstheme="minorHAnsi"/>
        </w:rPr>
        <w:t>taotlust, mis oli esitatud Andmekaitse Inspektsiooni vormil</w:t>
      </w:r>
      <w:r w:rsidR="00736AE6">
        <w:rPr>
          <w:rFonts w:cstheme="minorHAnsi"/>
        </w:rPr>
        <w:t xml:space="preserve"> ning palus taotlejal esitada asjakohaseid dokumente. Lisaks esitas eetikakomitee taotlejale lisaküsimusi ning sai neile vastuseid, mis</w:t>
      </w:r>
      <w:r w:rsidR="00034088" w:rsidRPr="00DE04D7">
        <w:rPr>
          <w:rFonts w:cstheme="minorHAnsi"/>
        </w:rPr>
        <w:t xml:space="preserve"> on </w:t>
      </w:r>
      <w:r w:rsidRPr="00DE04D7">
        <w:rPr>
          <w:rFonts w:cstheme="minorHAnsi"/>
        </w:rPr>
        <w:t>toodud protokolli Lisas 1.</w:t>
      </w:r>
    </w:p>
    <w:p w14:paraId="6DB0C7F8" w14:textId="77777777" w:rsidR="00012F8D" w:rsidRPr="00DE04D7" w:rsidRDefault="00012F8D" w:rsidP="002170CC">
      <w:pPr>
        <w:tabs>
          <w:tab w:val="left" w:pos="1276"/>
        </w:tabs>
        <w:spacing w:after="0" w:line="240" w:lineRule="auto"/>
        <w:rPr>
          <w:rFonts w:cstheme="minorHAnsi"/>
          <w:b/>
        </w:rPr>
      </w:pPr>
    </w:p>
    <w:p w14:paraId="4AB41912" w14:textId="21AFBB4A" w:rsidR="002170CC" w:rsidRPr="00DE04D7" w:rsidRDefault="002170CC" w:rsidP="002170CC">
      <w:pPr>
        <w:tabs>
          <w:tab w:val="left" w:pos="1276"/>
        </w:tabs>
        <w:spacing w:after="0" w:line="240" w:lineRule="auto"/>
        <w:rPr>
          <w:rFonts w:cstheme="minorHAnsi"/>
          <w:b/>
        </w:rPr>
      </w:pPr>
      <w:r w:rsidRPr="00DE04D7">
        <w:rPr>
          <w:rFonts w:cstheme="minorHAnsi"/>
          <w:b/>
        </w:rPr>
        <w:t>OTSUSTATI:</w:t>
      </w:r>
    </w:p>
    <w:p w14:paraId="4AB41913" w14:textId="6EE6AF03" w:rsidR="002170CC" w:rsidRPr="00DE04D7" w:rsidRDefault="002170CC" w:rsidP="002170CC">
      <w:pPr>
        <w:tabs>
          <w:tab w:val="left" w:pos="1276"/>
        </w:tabs>
        <w:spacing w:after="0" w:line="240" w:lineRule="auto"/>
        <w:rPr>
          <w:rFonts w:cstheme="minorHAnsi"/>
          <w:bCs/>
        </w:rPr>
      </w:pPr>
      <w:r w:rsidRPr="00DE04D7">
        <w:rPr>
          <w:rFonts w:cstheme="minorHAnsi"/>
        </w:rPr>
        <w:t>1.1</w:t>
      </w:r>
      <w:r w:rsidR="00034088" w:rsidRPr="00DE04D7">
        <w:rPr>
          <w:rFonts w:cstheme="minorHAnsi"/>
        </w:rPr>
        <w:t>.</w:t>
      </w:r>
      <w:r w:rsidRPr="00DE04D7">
        <w:rPr>
          <w:rFonts w:cstheme="minorHAnsi"/>
        </w:rPr>
        <w:t xml:space="preserve"> </w:t>
      </w:r>
      <w:r w:rsidR="00012F8D" w:rsidRPr="00DE04D7">
        <w:rPr>
          <w:rFonts w:cstheme="minorHAnsi"/>
        </w:rPr>
        <w:t xml:space="preserve">Eetikakomitee annab </w:t>
      </w:r>
      <w:r w:rsidR="006064F6">
        <w:rPr>
          <w:rFonts w:cstheme="minorHAnsi"/>
        </w:rPr>
        <w:t>28</w:t>
      </w:r>
      <w:r w:rsidR="00917691">
        <w:rPr>
          <w:rFonts w:cstheme="minorHAnsi"/>
        </w:rPr>
        <w:t>.</w:t>
      </w:r>
      <w:r w:rsidR="006064F6">
        <w:rPr>
          <w:rFonts w:cstheme="minorHAnsi"/>
        </w:rPr>
        <w:t>12.</w:t>
      </w:r>
      <w:r w:rsidR="00917691">
        <w:rPr>
          <w:rFonts w:cstheme="minorHAnsi"/>
        </w:rPr>
        <w:t>202</w:t>
      </w:r>
      <w:r w:rsidR="006064F6">
        <w:rPr>
          <w:rFonts w:cstheme="minorHAnsi"/>
        </w:rPr>
        <w:t>3</w:t>
      </w:r>
      <w:r w:rsidR="00917691">
        <w:rPr>
          <w:rFonts w:cstheme="minorHAnsi"/>
        </w:rPr>
        <w:t xml:space="preserve">. a </w:t>
      </w:r>
      <w:r w:rsidR="00012F8D" w:rsidRPr="00DE04D7">
        <w:rPr>
          <w:rFonts w:cstheme="minorHAnsi"/>
        </w:rPr>
        <w:t xml:space="preserve">kooskõlastuse </w:t>
      </w:r>
      <w:r w:rsidR="006064F6">
        <w:rPr>
          <w:rFonts w:cstheme="minorHAnsi"/>
        </w:rPr>
        <w:t>uuringu</w:t>
      </w:r>
      <w:r w:rsidR="00012F8D" w:rsidRPr="00DE04D7">
        <w:rPr>
          <w:rFonts w:cstheme="minorHAnsi"/>
        </w:rPr>
        <w:t xml:space="preserve"> </w:t>
      </w:r>
      <w:r w:rsidR="00034088" w:rsidRPr="00DE04D7">
        <w:rPr>
          <w:rFonts w:cstheme="minorHAnsi"/>
        </w:rPr>
        <w:t>"</w:t>
      </w:r>
      <w:r w:rsidR="006064F6">
        <w:t>Lasteabitelefoni 116 111 tulemuslikkuse uuring</w:t>
      </w:r>
      <w:r w:rsidR="006064F6" w:rsidRPr="00DE04D7">
        <w:rPr>
          <w:rFonts w:cstheme="minorHAnsi"/>
        </w:rPr>
        <w:t xml:space="preserve"> </w:t>
      </w:r>
      <w:r w:rsidR="00034088" w:rsidRPr="00DE04D7">
        <w:rPr>
          <w:rFonts w:cstheme="minorHAnsi"/>
        </w:rPr>
        <w:t>"</w:t>
      </w:r>
      <w:r w:rsidR="006064F6">
        <w:rPr>
          <w:rFonts w:cstheme="minorHAnsi"/>
        </w:rPr>
        <w:t xml:space="preserve"> läbiviimiseks. </w:t>
      </w:r>
    </w:p>
    <w:p w14:paraId="4AB41914" w14:textId="77777777" w:rsidR="002170CC" w:rsidRPr="00DE04D7" w:rsidRDefault="002170CC" w:rsidP="002170CC">
      <w:pPr>
        <w:tabs>
          <w:tab w:val="left" w:pos="1276"/>
        </w:tabs>
        <w:spacing w:after="0" w:line="240" w:lineRule="auto"/>
        <w:rPr>
          <w:rFonts w:cstheme="minorHAnsi"/>
        </w:rPr>
      </w:pPr>
    </w:p>
    <w:p w14:paraId="4AB4191B" w14:textId="0E0D6F40" w:rsidR="002170CC" w:rsidRPr="00DE04D7" w:rsidRDefault="00012F8D" w:rsidP="004F57C0">
      <w:pPr>
        <w:tabs>
          <w:tab w:val="left" w:pos="1276"/>
        </w:tabs>
        <w:spacing w:after="0" w:line="240" w:lineRule="auto"/>
        <w:rPr>
          <w:rFonts w:cstheme="minorHAnsi"/>
        </w:rPr>
      </w:pPr>
      <w:r w:rsidRPr="00DE04D7">
        <w:rPr>
          <w:rFonts w:cstheme="minorHAnsi"/>
          <w:b/>
          <w:bCs/>
        </w:rPr>
        <w:t>Lisa 1</w:t>
      </w:r>
      <w:r w:rsidR="00034088" w:rsidRPr="00DE04D7">
        <w:rPr>
          <w:rFonts w:cstheme="minorHAnsi"/>
          <w:b/>
          <w:bCs/>
        </w:rPr>
        <w:t>.</w:t>
      </w:r>
      <w:r w:rsidRPr="00DE04D7">
        <w:rPr>
          <w:rFonts w:cstheme="minorHAnsi"/>
          <w:b/>
          <w:bCs/>
        </w:rPr>
        <w:t xml:space="preserve"> </w:t>
      </w:r>
      <w:r w:rsidR="00736AE6">
        <w:rPr>
          <w:rFonts w:cstheme="minorHAnsi"/>
          <w:b/>
          <w:bCs/>
        </w:rPr>
        <w:t xml:space="preserve">Taotluse läbivaatamisel tekkinud küsimused-vastused ja soovitused </w:t>
      </w:r>
      <w:r w:rsidR="003F380D" w:rsidRPr="00DE04D7">
        <w:rPr>
          <w:rFonts w:cstheme="minorHAnsi"/>
          <w:b/>
          <w:bCs/>
        </w:rPr>
        <w:t xml:space="preserve">Sotsiaalministeeriumi sotsiaal- ja töövaldkonna uuringute ja analüüside ajutiselt </w:t>
      </w:r>
      <w:r w:rsidRPr="00DE04D7">
        <w:rPr>
          <w:rFonts w:cstheme="minorHAnsi"/>
          <w:b/>
          <w:bCs/>
        </w:rPr>
        <w:t>eetikakomitee</w:t>
      </w:r>
      <w:r w:rsidR="00034088" w:rsidRPr="00DE04D7">
        <w:rPr>
          <w:rFonts w:cstheme="minorHAnsi"/>
          <w:b/>
          <w:bCs/>
        </w:rPr>
        <w:t>lt</w:t>
      </w:r>
    </w:p>
    <w:p w14:paraId="4AB4191C" w14:textId="77777777" w:rsidR="00EE2E86" w:rsidRPr="00DE04D7" w:rsidRDefault="00EE2E86" w:rsidP="004F57C0">
      <w:pPr>
        <w:tabs>
          <w:tab w:val="left" w:pos="1276"/>
        </w:tabs>
        <w:spacing w:after="0" w:line="240" w:lineRule="auto"/>
        <w:rPr>
          <w:rFonts w:cstheme="minorHAnsi"/>
        </w:rPr>
      </w:pPr>
    </w:p>
    <w:p w14:paraId="4AB4191D" w14:textId="77777777" w:rsidR="00EE2E86" w:rsidRPr="00DE04D7" w:rsidRDefault="00EE2E86" w:rsidP="004F57C0">
      <w:pPr>
        <w:tabs>
          <w:tab w:val="left" w:pos="1276"/>
        </w:tabs>
        <w:spacing w:after="0" w:line="240" w:lineRule="auto"/>
        <w:rPr>
          <w:rFonts w:cstheme="minorHAnsi"/>
        </w:rPr>
      </w:pPr>
    </w:p>
    <w:p w14:paraId="4AB4191E" w14:textId="77777777" w:rsidR="00EE2E86" w:rsidRPr="00DE04D7" w:rsidRDefault="00EE2E86" w:rsidP="004F57C0">
      <w:pPr>
        <w:tabs>
          <w:tab w:val="left" w:pos="1276"/>
        </w:tabs>
        <w:spacing w:after="0" w:line="240" w:lineRule="auto"/>
        <w:rPr>
          <w:rFonts w:cstheme="minorHAnsi"/>
        </w:rPr>
      </w:pPr>
    </w:p>
    <w:p w14:paraId="4AB4191F" w14:textId="77777777" w:rsidR="00EE2E86" w:rsidRPr="00DE04D7" w:rsidRDefault="00EE2E86" w:rsidP="00EE2E86">
      <w:pPr>
        <w:tabs>
          <w:tab w:val="left" w:pos="1276"/>
          <w:tab w:val="left" w:pos="5245"/>
        </w:tabs>
        <w:spacing w:after="0" w:line="240" w:lineRule="auto"/>
        <w:rPr>
          <w:rFonts w:cstheme="minorHAnsi"/>
        </w:rPr>
      </w:pPr>
      <w:r w:rsidRPr="00917691">
        <w:rPr>
          <w:rFonts w:cstheme="minorHAnsi"/>
          <w:i/>
          <w:iCs/>
        </w:rPr>
        <w:t>(allkirjastatud digitaalselt)</w:t>
      </w:r>
      <w:r w:rsidRPr="00DE04D7">
        <w:rPr>
          <w:rFonts w:cstheme="minorHAnsi"/>
        </w:rPr>
        <w:tab/>
      </w:r>
      <w:r w:rsidRPr="00917691">
        <w:rPr>
          <w:rFonts w:cstheme="minorHAnsi"/>
          <w:i/>
          <w:iCs/>
        </w:rPr>
        <w:t>(allkirjastatud digitaalselt)</w:t>
      </w:r>
    </w:p>
    <w:p w14:paraId="4AB41920" w14:textId="38692319" w:rsidR="00EE2E86" w:rsidRPr="00DE04D7" w:rsidRDefault="00012F8D" w:rsidP="00EE2E86">
      <w:pPr>
        <w:tabs>
          <w:tab w:val="left" w:pos="5245"/>
        </w:tabs>
        <w:spacing w:after="0" w:line="240" w:lineRule="auto"/>
        <w:rPr>
          <w:rFonts w:cstheme="minorHAnsi"/>
        </w:rPr>
      </w:pPr>
      <w:r w:rsidRPr="00DE04D7">
        <w:rPr>
          <w:rFonts w:cstheme="minorHAnsi"/>
        </w:rPr>
        <w:t>Kristi Rüütel</w:t>
      </w:r>
      <w:r w:rsidR="00EE2E86" w:rsidRPr="00DE04D7">
        <w:rPr>
          <w:rFonts w:cstheme="minorHAnsi"/>
        </w:rPr>
        <w:tab/>
      </w:r>
      <w:r w:rsidR="00A34685" w:rsidRPr="00DE04D7">
        <w:rPr>
          <w:rFonts w:cstheme="minorHAnsi"/>
        </w:rPr>
        <w:t>Mari</w:t>
      </w:r>
      <w:r w:rsidR="00555C3B">
        <w:rPr>
          <w:rFonts w:cstheme="minorHAnsi"/>
        </w:rPr>
        <w:t>on Pajumets</w:t>
      </w:r>
    </w:p>
    <w:p w14:paraId="4AB41921" w14:textId="50ED45C3" w:rsidR="00EE2E86" w:rsidRPr="00DE04D7" w:rsidRDefault="002E64D1" w:rsidP="00EE2E86">
      <w:pPr>
        <w:tabs>
          <w:tab w:val="left" w:pos="5245"/>
        </w:tabs>
        <w:spacing w:after="0" w:line="240" w:lineRule="auto"/>
        <w:rPr>
          <w:rFonts w:cstheme="minorHAnsi"/>
        </w:rPr>
      </w:pPr>
      <w:r w:rsidRPr="00DE04D7">
        <w:rPr>
          <w:rFonts w:cstheme="minorHAnsi"/>
        </w:rPr>
        <w:t xml:space="preserve">Koosoleku </w:t>
      </w:r>
      <w:r w:rsidR="00EE2E86" w:rsidRPr="00DE04D7">
        <w:rPr>
          <w:rFonts w:cstheme="minorHAnsi"/>
        </w:rPr>
        <w:t>juhataja</w:t>
      </w:r>
      <w:r w:rsidR="00EE2E86" w:rsidRPr="00DE04D7">
        <w:rPr>
          <w:rFonts w:cstheme="minorHAnsi"/>
        </w:rPr>
        <w:tab/>
        <w:t>Protokollija</w:t>
      </w:r>
    </w:p>
    <w:p w14:paraId="399A2135" w14:textId="68F8C026" w:rsidR="00012F8D" w:rsidRPr="00DE04D7" w:rsidRDefault="00012F8D" w:rsidP="00EE2E86">
      <w:pPr>
        <w:tabs>
          <w:tab w:val="left" w:pos="5245"/>
        </w:tabs>
        <w:spacing w:after="0" w:line="240" w:lineRule="auto"/>
        <w:rPr>
          <w:rFonts w:cstheme="minorHAnsi"/>
        </w:rPr>
      </w:pPr>
    </w:p>
    <w:p w14:paraId="29F0601A" w14:textId="05A38750" w:rsidR="00012F8D" w:rsidRPr="00DE04D7" w:rsidRDefault="00012F8D" w:rsidP="00EE2E86">
      <w:pPr>
        <w:tabs>
          <w:tab w:val="left" w:pos="5245"/>
        </w:tabs>
        <w:spacing w:after="0" w:line="240" w:lineRule="auto"/>
        <w:rPr>
          <w:rFonts w:cstheme="minorHAnsi"/>
        </w:rPr>
      </w:pPr>
    </w:p>
    <w:p w14:paraId="6D8AAE93" w14:textId="7C58252D" w:rsidR="00012F8D" w:rsidRPr="00DE04D7" w:rsidRDefault="00012F8D" w:rsidP="00EE2E86">
      <w:pPr>
        <w:tabs>
          <w:tab w:val="left" w:pos="5245"/>
        </w:tabs>
        <w:spacing w:after="0" w:line="240" w:lineRule="auto"/>
        <w:rPr>
          <w:rFonts w:cstheme="minorHAnsi"/>
        </w:rPr>
      </w:pPr>
    </w:p>
    <w:p w14:paraId="5C971F37" w14:textId="2C95622A" w:rsidR="00012F8D" w:rsidRPr="00DE04D7" w:rsidRDefault="00012F8D" w:rsidP="00EE2E86">
      <w:pPr>
        <w:tabs>
          <w:tab w:val="left" w:pos="5245"/>
        </w:tabs>
        <w:spacing w:after="0" w:line="240" w:lineRule="auto"/>
        <w:rPr>
          <w:rFonts w:cstheme="minorHAnsi"/>
        </w:rPr>
      </w:pPr>
    </w:p>
    <w:p w14:paraId="79E3AF49" w14:textId="0B772536" w:rsidR="00012F8D" w:rsidRPr="00DE04D7" w:rsidRDefault="00012F8D">
      <w:pPr>
        <w:rPr>
          <w:rFonts w:cstheme="minorHAnsi"/>
        </w:rPr>
      </w:pPr>
      <w:r w:rsidRPr="00DE04D7">
        <w:rPr>
          <w:rFonts w:cstheme="minorHAnsi"/>
        </w:rPr>
        <w:br w:type="page"/>
      </w:r>
    </w:p>
    <w:p w14:paraId="2312B22E" w14:textId="77777777" w:rsidR="00917691" w:rsidRPr="00DE04D7" w:rsidRDefault="00917691" w:rsidP="00917691">
      <w:pPr>
        <w:tabs>
          <w:tab w:val="left" w:pos="1276"/>
        </w:tabs>
        <w:spacing w:after="0" w:line="240" w:lineRule="auto"/>
        <w:rPr>
          <w:rFonts w:cstheme="minorHAnsi"/>
        </w:rPr>
      </w:pPr>
      <w:r w:rsidRPr="00DE04D7">
        <w:rPr>
          <w:rFonts w:cstheme="minorHAnsi"/>
          <w:b/>
          <w:bCs/>
        </w:rPr>
        <w:lastRenderedPageBreak/>
        <w:t xml:space="preserve">Lisa 1. </w:t>
      </w:r>
      <w:r>
        <w:rPr>
          <w:rFonts w:cstheme="minorHAnsi"/>
          <w:b/>
          <w:bCs/>
        </w:rPr>
        <w:t xml:space="preserve">Taotluse läbivaatamisel tekkinud küsimused-vastused ja soovitused </w:t>
      </w:r>
      <w:r w:rsidRPr="00DE04D7">
        <w:rPr>
          <w:rFonts w:cstheme="minorHAnsi"/>
          <w:b/>
          <w:bCs/>
        </w:rPr>
        <w:t>Sotsiaalministeeriumi sotsiaal- ja töövaldkonna uuringute ja analüüside ajutiselt eetikakomiteelt</w:t>
      </w:r>
    </w:p>
    <w:p w14:paraId="15C7EF6A" w14:textId="37CAA82C" w:rsidR="003F380D" w:rsidRPr="00747677" w:rsidRDefault="003F380D" w:rsidP="00747677">
      <w:pPr>
        <w:ind w:left="360"/>
        <w:rPr>
          <w:rFonts w:eastAsia="Times New Roman" w:cstheme="minorHAnsi"/>
          <w:b/>
          <w:bCs/>
        </w:rPr>
      </w:pPr>
    </w:p>
    <w:p w14:paraId="10437ACB" w14:textId="3F41C1AA" w:rsidR="00770E59" w:rsidRDefault="00205C95" w:rsidP="00205C95">
      <w:pPr>
        <w:pStyle w:val="Loendilik"/>
        <w:numPr>
          <w:ilvl w:val="0"/>
          <w:numId w:val="5"/>
        </w:numPr>
        <w:rPr>
          <w:rFonts w:eastAsia="Times New Roman" w:cstheme="minorHAnsi"/>
          <w:b/>
          <w:bCs/>
        </w:rPr>
      </w:pPr>
      <w:bookmarkStart w:id="1" w:name="_Hlk155370285"/>
      <w:r>
        <w:rPr>
          <w:rFonts w:eastAsia="Times New Roman" w:cstheme="minorHAnsi"/>
          <w:b/>
          <w:bCs/>
        </w:rPr>
        <w:t>ring küsimusi-vastuseid</w:t>
      </w:r>
    </w:p>
    <w:p w14:paraId="3012CF76" w14:textId="77777777" w:rsidR="00205C95" w:rsidRPr="00205C95" w:rsidRDefault="00205C95" w:rsidP="00205C95">
      <w:pPr>
        <w:pStyle w:val="Loendilik"/>
        <w:ind w:left="360"/>
        <w:rPr>
          <w:rFonts w:eastAsia="Times New Roman" w:cstheme="minorHAnsi"/>
          <w:b/>
          <w:bCs/>
        </w:rPr>
      </w:pPr>
    </w:p>
    <w:bookmarkEnd w:id="1"/>
    <w:p w14:paraId="6A341E45" w14:textId="084DAA19" w:rsidR="009F7B04" w:rsidRPr="007B3109" w:rsidRDefault="009F7B04" w:rsidP="007B3109">
      <w:pPr>
        <w:pStyle w:val="Loendilik"/>
        <w:numPr>
          <w:ilvl w:val="1"/>
          <w:numId w:val="5"/>
        </w:numPr>
        <w:rPr>
          <w:rFonts w:eastAsia="Times New Roman" w:cstheme="minorHAnsi"/>
        </w:rPr>
      </w:pPr>
      <w:r w:rsidRPr="007B3109">
        <w:rPr>
          <w:rFonts w:eastAsia="Times New Roman" w:cstheme="minorHAnsi"/>
          <w:b/>
          <w:bCs/>
        </w:rPr>
        <w:t>Küsimus:</w:t>
      </w:r>
      <w:r w:rsidRPr="007B3109">
        <w:rPr>
          <w:rFonts w:eastAsia="Times New Roman" w:cstheme="minorHAnsi"/>
        </w:rPr>
        <w:t xml:space="preserve"> Kas STAR keskkonda sisestatud info hõlmab ka olukorra kirjelduse ja toimingud? Töödeldavate isikuandmete koosseis jääb mulle kui teemavälisele isikule segaseks. Mainitakse järgmist: „menetlused, pöördumised, toimingud ja rakendatud abinõud. Lapse lastekaitsealaste juhtumiplaanide väljavõtted“ See ei saa ju olla Excel tabel, vaid pigem mingid kirjeldused ja sõnalised kokkuvõtted?</w:t>
      </w:r>
    </w:p>
    <w:p w14:paraId="6C7A2524" w14:textId="3E58636E" w:rsidR="009F7B04" w:rsidRDefault="009F7B04" w:rsidP="007B3109">
      <w:pPr>
        <w:pStyle w:val="Loendilik"/>
        <w:numPr>
          <w:ilvl w:val="1"/>
          <w:numId w:val="6"/>
        </w:numPr>
        <w:rPr>
          <w:rFonts w:eastAsia="Times New Roman" w:cstheme="minorHAnsi"/>
        </w:rPr>
      </w:pPr>
      <w:r w:rsidRPr="007B3109">
        <w:rPr>
          <w:rFonts w:eastAsia="Times New Roman" w:cstheme="minorHAnsi"/>
          <w:b/>
          <w:bCs/>
        </w:rPr>
        <w:t>Vastus:</w:t>
      </w:r>
      <w:r w:rsidRPr="007B3109">
        <w:rPr>
          <w:rFonts w:eastAsia="Times New Roman" w:cstheme="minorHAnsi"/>
        </w:rPr>
        <w:t xml:space="preserve"> STAR keskkonda sisestatud info hõlmab ka olukorra kirjeldust ja toiminguid. Põhjaliku ülevaate töödeldavate andmete koosseisust annab 15.12.2023 esitatud AKI täiendatud taotluse lisa 3. Väljavõte </w:t>
      </w:r>
      <w:proofErr w:type="spellStart"/>
      <w:r w:rsidRPr="007B3109">
        <w:rPr>
          <w:rFonts w:eastAsia="Times New Roman" w:cstheme="minorHAnsi"/>
        </w:rPr>
        <w:t>STAR-ist</w:t>
      </w:r>
      <w:proofErr w:type="spellEnd"/>
      <w:r w:rsidRPr="007B3109">
        <w:rPr>
          <w:rFonts w:eastAsia="Times New Roman" w:cstheme="minorHAnsi"/>
        </w:rPr>
        <w:t xml:space="preserve"> tehakse SQL programmi kasutades ning väljavõte on </w:t>
      </w:r>
      <w:proofErr w:type="spellStart"/>
      <w:r w:rsidRPr="007B3109">
        <w:rPr>
          <w:rFonts w:eastAsia="Times New Roman" w:cstheme="minorHAnsi"/>
        </w:rPr>
        <w:t>exceli</w:t>
      </w:r>
      <w:proofErr w:type="spellEnd"/>
      <w:r w:rsidRPr="007B3109">
        <w:rPr>
          <w:rFonts w:eastAsia="Times New Roman" w:cstheme="minorHAnsi"/>
        </w:rPr>
        <w:t xml:space="preserve"> tabeli kujul, kus iga andmeväli on eraldi veeruna. STAR kasutaja (</w:t>
      </w:r>
      <w:proofErr w:type="spellStart"/>
      <w:r w:rsidRPr="007B3109">
        <w:rPr>
          <w:rFonts w:eastAsia="Times New Roman" w:cstheme="minorHAnsi"/>
        </w:rPr>
        <w:t>lasteabi</w:t>
      </w:r>
      <w:proofErr w:type="spellEnd"/>
      <w:r w:rsidRPr="007B3109">
        <w:rPr>
          <w:rFonts w:eastAsia="Times New Roman" w:cstheme="minorHAnsi"/>
        </w:rPr>
        <w:t xml:space="preserve"> nõustaja, lastekaitsetöötaja) täidab nii etteantud valikutega kui ka vabavälju, lisaks genereeritakse süsteemsed pöördumised (nt „Pöördumise registreerimine“, „Juhtumimenetluse algatamine“) ning sellest olenevad ka vastavate lahtrite sisud väljavõttes. Kokku tekib mitu erinevat andmetabelit, mis unikaalse </w:t>
      </w:r>
      <w:proofErr w:type="spellStart"/>
      <w:r w:rsidRPr="007B3109">
        <w:rPr>
          <w:rFonts w:eastAsia="Times New Roman" w:cstheme="minorHAnsi"/>
        </w:rPr>
        <w:t>pseudonümiseeritud</w:t>
      </w:r>
      <w:proofErr w:type="spellEnd"/>
      <w:r w:rsidRPr="007B3109">
        <w:rPr>
          <w:rFonts w:eastAsia="Times New Roman" w:cstheme="minorHAnsi"/>
        </w:rPr>
        <w:t xml:space="preserve"> isikukoodi ja/või menetluse numbri abil annavad tervikliku vaate juhtumist.</w:t>
      </w:r>
    </w:p>
    <w:p w14:paraId="18EE4167" w14:textId="77777777" w:rsidR="007B3109" w:rsidRPr="007B3109" w:rsidRDefault="007B3109" w:rsidP="007B3109">
      <w:pPr>
        <w:pStyle w:val="Loendilik"/>
        <w:ind w:left="360"/>
        <w:rPr>
          <w:rFonts w:eastAsia="Times New Roman" w:cstheme="minorHAnsi"/>
        </w:rPr>
      </w:pPr>
    </w:p>
    <w:p w14:paraId="42DFE868" w14:textId="77777777" w:rsidR="003C5E23" w:rsidRDefault="009F7B04" w:rsidP="003C5E23">
      <w:pPr>
        <w:pStyle w:val="Loendilik"/>
        <w:numPr>
          <w:ilvl w:val="1"/>
          <w:numId w:val="6"/>
        </w:numPr>
        <w:rPr>
          <w:rFonts w:eastAsia="Times New Roman" w:cstheme="minorHAnsi"/>
        </w:rPr>
      </w:pPr>
      <w:r w:rsidRPr="007B3109">
        <w:rPr>
          <w:rFonts w:eastAsia="Times New Roman" w:cstheme="minorHAnsi"/>
          <w:b/>
          <w:bCs/>
        </w:rPr>
        <w:t>Küsimus:</w:t>
      </w:r>
      <w:r w:rsidRPr="007B3109">
        <w:rPr>
          <w:rFonts w:eastAsia="Times New Roman" w:cstheme="minorHAnsi"/>
        </w:rPr>
        <w:t xml:space="preserve"> Mainitakse </w:t>
      </w:r>
      <w:proofErr w:type="spellStart"/>
      <w:r w:rsidRPr="007B3109">
        <w:rPr>
          <w:rFonts w:eastAsia="Times New Roman" w:cstheme="minorHAnsi"/>
        </w:rPr>
        <w:t>pseudonüümimist</w:t>
      </w:r>
      <w:proofErr w:type="spellEnd"/>
      <w:r w:rsidRPr="007B3109">
        <w:rPr>
          <w:rFonts w:eastAsia="Times New Roman" w:cstheme="minorHAnsi"/>
        </w:rPr>
        <w:t xml:space="preserve">: „Laste delikaatsed isikuandmed (isikukood, täpne elukoht, lapse ja pere nimed) </w:t>
      </w:r>
      <w:proofErr w:type="spellStart"/>
      <w:r w:rsidRPr="007B3109">
        <w:rPr>
          <w:rFonts w:eastAsia="Times New Roman" w:cstheme="minorHAnsi"/>
        </w:rPr>
        <w:t>pseudonümiseeritakse</w:t>
      </w:r>
      <w:proofErr w:type="spellEnd"/>
      <w:r w:rsidRPr="007B3109">
        <w:rPr>
          <w:rFonts w:eastAsia="Times New Roman" w:cstheme="minorHAnsi"/>
        </w:rPr>
        <w:t xml:space="preserve">, et võimaldada küll seoste loomist, ent mitte laste ära tundmist.“ Mida see reaalselt tähendab? </w:t>
      </w:r>
      <w:proofErr w:type="spellStart"/>
      <w:r w:rsidRPr="007B3109">
        <w:rPr>
          <w:rFonts w:eastAsia="Times New Roman" w:cstheme="minorHAnsi"/>
        </w:rPr>
        <w:t>Pseudonüümimise</w:t>
      </w:r>
      <w:proofErr w:type="spellEnd"/>
      <w:r w:rsidRPr="007B3109">
        <w:rPr>
          <w:rFonts w:eastAsia="Times New Roman" w:cstheme="minorHAnsi"/>
        </w:rPr>
        <w:t xml:space="preserve"> puhul tekib koodi võti, et oleks hiljem võimalik isik tuvastada. Kuidas pseudonüümitakse? Kes need inimesed </w:t>
      </w:r>
      <w:proofErr w:type="spellStart"/>
      <w:r w:rsidRPr="007B3109">
        <w:rPr>
          <w:rFonts w:eastAsia="Times New Roman" w:cstheme="minorHAnsi"/>
        </w:rPr>
        <w:t>STARis</w:t>
      </w:r>
      <w:proofErr w:type="spellEnd"/>
      <w:r w:rsidRPr="007B3109">
        <w:rPr>
          <w:rFonts w:eastAsia="Times New Roman" w:cstheme="minorHAnsi"/>
        </w:rPr>
        <w:t xml:space="preserve"> on, kes kõik need pikad tekstid läbi töötavad ja teevad kindlaks, et selles ei ole mingeid tunnuseid, mis viitaksid isikutele? Kus ja kui kaua säilitatakse koodi võtit, kellele on sellele ligipääs?</w:t>
      </w:r>
    </w:p>
    <w:p w14:paraId="1BF46842" w14:textId="0C587A8A" w:rsidR="009F7B04" w:rsidRDefault="009F7B04" w:rsidP="003C5E23">
      <w:pPr>
        <w:pStyle w:val="Loendilik"/>
        <w:numPr>
          <w:ilvl w:val="1"/>
          <w:numId w:val="5"/>
        </w:numPr>
        <w:rPr>
          <w:rFonts w:eastAsia="Times New Roman" w:cstheme="minorHAnsi"/>
        </w:rPr>
      </w:pPr>
      <w:r w:rsidRPr="003C5E23">
        <w:rPr>
          <w:rFonts w:eastAsia="Times New Roman" w:cstheme="minorHAnsi"/>
          <w:b/>
          <w:bCs/>
        </w:rPr>
        <w:t>Vastus:</w:t>
      </w:r>
      <w:r w:rsidRPr="003C5E23">
        <w:rPr>
          <w:rFonts w:eastAsia="Times New Roman" w:cstheme="minorHAnsi"/>
        </w:rPr>
        <w:t xml:space="preserve"> </w:t>
      </w:r>
      <w:proofErr w:type="spellStart"/>
      <w:r w:rsidRPr="003C5E23">
        <w:rPr>
          <w:rFonts w:eastAsia="Times New Roman" w:cstheme="minorHAnsi"/>
        </w:rPr>
        <w:t>Pseudonümiseerimist</w:t>
      </w:r>
      <w:proofErr w:type="spellEnd"/>
      <w:r w:rsidRPr="003C5E23">
        <w:rPr>
          <w:rFonts w:eastAsia="Times New Roman" w:cstheme="minorHAnsi"/>
        </w:rPr>
        <w:t xml:space="preserve"> on kirjeldatud 15.12.23 </w:t>
      </w:r>
      <w:proofErr w:type="spellStart"/>
      <w:r w:rsidRPr="003C5E23">
        <w:rPr>
          <w:rFonts w:eastAsia="Times New Roman" w:cstheme="minorHAnsi"/>
        </w:rPr>
        <w:t>AKI-le</w:t>
      </w:r>
      <w:proofErr w:type="spellEnd"/>
      <w:r w:rsidRPr="003C5E23">
        <w:rPr>
          <w:rFonts w:eastAsia="Times New Roman" w:cstheme="minorHAnsi"/>
        </w:rPr>
        <w:t xml:space="preserve"> esitatud täiendatud taotluses. </w:t>
      </w:r>
      <w:proofErr w:type="spellStart"/>
      <w:r w:rsidRPr="003C5E23">
        <w:rPr>
          <w:rFonts w:eastAsia="Times New Roman" w:cstheme="minorHAnsi"/>
        </w:rPr>
        <w:t>Pseudonümiseerimisel</w:t>
      </w:r>
      <w:proofErr w:type="spellEnd"/>
      <w:r w:rsidRPr="003C5E23">
        <w:rPr>
          <w:rFonts w:eastAsia="Times New Roman" w:cstheme="minorHAnsi"/>
        </w:rPr>
        <w:t xml:space="preserve"> lähtutakse Euroopa Liidu </w:t>
      </w:r>
      <w:proofErr w:type="spellStart"/>
      <w:r w:rsidRPr="003C5E23">
        <w:rPr>
          <w:rFonts w:eastAsia="Times New Roman" w:cstheme="minorHAnsi"/>
        </w:rPr>
        <w:t>Küberturvalisuse</w:t>
      </w:r>
      <w:proofErr w:type="spellEnd"/>
      <w:r w:rsidRPr="003C5E23">
        <w:rPr>
          <w:rFonts w:eastAsia="Times New Roman" w:cstheme="minorHAnsi"/>
        </w:rPr>
        <w:t xml:space="preserve"> Ameti (ENISA) juhendist</w:t>
      </w:r>
      <w:r w:rsidRPr="009F7B04">
        <w:rPr>
          <w:vertAlign w:val="superscript"/>
        </w:rPr>
        <w:footnoteReference w:id="1"/>
      </w:r>
      <w:r w:rsidRPr="003C5E23">
        <w:rPr>
          <w:rFonts w:eastAsia="Times New Roman" w:cstheme="minorHAnsi"/>
        </w:rPr>
        <w:t xml:space="preserve"> </w:t>
      </w:r>
      <w:proofErr w:type="spellStart"/>
      <w:r w:rsidRPr="003C5E23">
        <w:rPr>
          <w:rFonts w:eastAsia="Times New Roman" w:cstheme="minorHAnsi"/>
        </w:rPr>
        <w:t>pseudonüümimisvõtete</w:t>
      </w:r>
      <w:proofErr w:type="spellEnd"/>
      <w:r w:rsidRPr="003C5E23">
        <w:rPr>
          <w:rFonts w:eastAsia="Times New Roman" w:cstheme="minorHAnsi"/>
        </w:rPr>
        <w:t xml:space="preserve"> ja parimate tavade kohta. </w:t>
      </w:r>
      <w:proofErr w:type="spellStart"/>
      <w:r w:rsidRPr="003C5E23">
        <w:rPr>
          <w:rFonts w:eastAsia="Times New Roman" w:cstheme="minorHAnsi"/>
        </w:rPr>
        <w:t>Pseudonümiseerimiseks</w:t>
      </w:r>
      <w:proofErr w:type="spellEnd"/>
      <w:r w:rsidRPr="003C5E23">
        <w:rPr>
          <w:rFonts w:eastAsia="Times New Roman" w:cstheme="minorHAnsi"/>
        </w:rPr>
        <w:t xml:space="preserve"> kasutatakse </w:t>
      </w:r>
      <w:proofErr w:type="spellStart"/>
      <w:r w:rsidRPr="003C5E23">
        <w:rPr>
          <w:rFonts w:eastAsia="Times New Roman" w:cstheme="minorHAnsi"/>
        </w:rPr>
        <w:t>exceli</w:t>
      </w:r>
      <w:proofErr w:type="spellEnd"/>
      <w:r w:rsidRPr="003C5E23">
        <w:rPr>
          <w:rFonts w:eastAsia="Times New Roman" w:cstheme="minorHAnsi"/>
        </w:rPr>
        <w:t xml:space="preserve"> valemit, mille on loonud andmehaldus talituse analüütik. Isikukoodis antakse igale numbrile uus alfabeetiline väärtus. Erinev number isikukoodis võib olla asendatud sama tähega, mistõttu ei ole võimalik koodi murda ja valemi abil tagasipöörata. </w:t>
      </w:r>
      <w:proofErr w:type="spellStart"/>
      <w:r w:rsidRPr="003C5E23">
        <w:rPr>
          <w:rFonts w:eastAsia="Times New Roman" w:cstheme="minorHAnsi"/>
        </w:rPr>
        <w:t>Pseudonümiseerimise</w:t>
      </w:r>
      <w:proofErr w:type="spellEnd"/>
      <w:r w:rsidRPr="003C5E23">
        <w:rPr>
          <w:rFonts w:eastAsia="Times New Roman" w:cstheme="minorHAnsi"/>
        </w:rPr>
        <w:t xml:space="preserve"> võtit (isikukoodide ja pseudonüümide vastavustabel) säilitatakse turvatud võrgukettal piiratud ligipääsuga kaustas vastavalt andmekogude säilitamise tähtajaga, mis on maksimaalselt kuni 2024 IV kvartalini. Isikuandmed (nt nimi ja perekonnanimi, isikukood, täpne aadress, telefoninumber, e-posti aadress, ID-kaardi vms dokumendi number jm) </w:t>
      </w:r>
      <w:proofErr w:type="spellStart"/>
      <w:r w:rsidRPr="003C5E23">
        <w:rPr>
          <w:rFonts w:eastAsia="Times New Roman" w:cstheme="minorHAnsi"/>
        </w:rPr>
        <w:t>pseudonümiseeritakse</w:t>
      </w:r>
      <w:proofErr w:type="spellEnd"/>
      <w:r w:rsidRPr="003C5E23">
        <w:rPr>
          <w:rFonts w:eastAsia="Times New Roman" w:cstheme="minorHAnsi"/>
        </w:rPr>
        <w:t xml:space="preserve"> (või kustutatakse, kui andmed ei ole uuringu vaates olulised) vastutava töötleja (Sotsiaalkindlustusamet) andmehaldustalituse analüütiku ning ennetustalituse peaspetsialisti poolt valemite abil. Samade töötlejate poolt loetakse täiendavalt üle ka vabaväljadel olev tekst, et välistada isikute kaudset tuvastamist (nt kool ja klass). Volitatud töötlejale (AS Emor) edastatakse </w:t>
      </w:r>
      <w:proofErr w:type="spellStart"/>
      <w:r w:rsidRPr="003C5E23">
        <w:rPr>
          <w:rFonts w:eastAsia="Times New Roman" w:cstheme="minorHAnsi"/>
        </w:rPr>
        <w:t>pseudonümiseeritud</w:t>
      </w:r>
      <w:proofErr w:type="spellEnd"/>
      <w:r w:rsidRPr="003C5E23">
        <w:rPr>
          <w:rFonts w:eastAsia="Times New Roman" w:cstheme="minorHAnsi"/>
        </w:rPr>
        <w:t xml:space="preserve"> andmed.</w:t>
      </w:r>
    </w:p>
    <w:p w14:paraId="25403AA1" w14:textId="77777777" w:rsidR="003C5E23" w:rsidRPr="003C5E23" w:rsidRDefault="003C5E23" w:rsidP="003C5E23">
      <w:pPr>
        <w:pStyle w:val="Loendilik"/>
        <w:ind w:left="360"/>
        <w:rPr>
          <w:rFonts w:eastAsia="Times New Roman" w:cstheme="minorHAnsi"/>
        </w:rPr>
      </w:pPr>
    </w:p>
    <w:p w14:paraId="78E40448" w14:textId="77777777" w:rsidR="003C5E23" w:rsidRDefault="009F7B04" w:rsidP="009F7B04">
      <w:pPr>
        <w:pStyle w:val="Loendilik"/>
        <w:numPr>
          <w:ilvl w:val="1"/>
          <w:numId w:val="5"/>
        </w:numPr>
        <w:rPr>
          <w:rFonts w:eastAsia="Times New Roman" w:cstheme="minorHAnsi"/>
        </w:rPr>
      </w:pPr>
      <w:r w:rsidRPr="003C5E23">
        <w:rPr>
          <w:rFonts w:eastAsia="Times New Roman" w:cstheme="minorHAnsi"/>
          <w:b/>
          <w:bCs/>
        </w:rPr>
        <w:t>Küsimus:</w:t>
      </w:r>
      <w:r w:rsidRPr="003C5E23">
        <w:rPr>
          <w:rFonts w:eastAsia="Times New Roman" w:cstheme="minorHAnsi"/>
        </w:rPr>
        <w:t xml:space="preserve"> Kirjutatud on „Emoril kohustus uuringu käigus kogutud andmekogud säilitada kodeerituna ja hulgana, mis välistab nende samastamise konkreetsete isikutega, välja arvatud kui kokkuleppel tellijaga otsustatakse andmekogus olevad andmed (osaliselt või tervikuna) hävitada“ Samas on eespool kirjutatud: „Taotleja (Sotsiaalkindlustusamet) teeb andmetest väljavõtu, </w:t>
      </w:r>
      <w:proofErr w:type="spellStart"/>
      <w:r w:rsidRPr="003C5E23">
        <w:rPr>
          <w:rFonts w:eastAsia="Times New Roman" w:cstheme="minorHAnsi"/>
        </w:rPr>
        <w:t>pseudonümiseerib</w:t>
      </w:r>
      <w:proofErr w:type="spellEnd"/>
      <w:r w:rsidRPr="003C5E23">
        <w:rPr>
          <w:rFonts w:eastAsia="Times New Roman" w:cstheme="minorHAnsi"/>
        </w:rPr>
        <w:t xml:space="preserve"> andmed ja edastab need krüpteeritult ja kasutades turvalist </w:t>
      </w:r>
      <w:r w:rsidRPr="003C5E23">
        <w:rPr>
          <w:rFonts w:eastAsia="Times New Roman" w:cstheme="minorHAnsi"/>
        </w:rPr>
        <w:lastRenderedPageBreak/>
        <w:t xml:space="preserve">vahenduskeskkonda uuringu läbiviija kontaktile ehk </w:t>
      </w:r>
      <w:proofErr w:type="spellStart"/>
      <w:r w:rsidRPr="003C5E23">
        <w:rPr>
          <w:rFonts w:eastAsia="Times New Roman" w:cstheme="minorHAnsi"/>
        </w:rPr>
        <w:t>Kantar</w:t>
      </w:r>
      <w:proofErr w:type="spellEnd"/>
      <w:r w:rsidRPr="003C5E23">
        <w:rPr>
          <w:rFonts w:eastAsia="Times New Roman" w:cstheme="minorHAnsi"/>
        </w:rPr>
        <w:t xml:space="preserve"> Emori (volitatud töötleja) töötajale.“ Kui SKA </w:t>
      </w:r>
      <w:proofErr w:type="spellStart"/>
      <w:r w:rsidRPr="003C5E23">
        <w:rPr>
          <w:rFonts w:eastAsia="Times New Roman" w:cstheme="minorHAnsi"/>
        </w:rPr>
        <w:t>pseudonüümib</w:t>
      </w:r>
      <w:proofErr w:type="spellEnd"/>
      <w:r w:rsidRPr="003C5E23">
        <w:rPr>
          <w:rFonts w:eastAsia="Times New Roman" w:cstheme="minorHAnsi"/>
        </w:rPr>
        <w:t>, kuidas siis saab nõuda veel Emorilt, et nemad peavad tagama selle, et pole võimalik samastada konkreetse isikuga?</w:t>
      </w:r>
    </w:p>
    <w:p w14:paraId="4B983236" w14:textId="64E3036A" w:rsidR="009F7B04" w:rsidRDefault="009F7B04" w:rsidP="003C5E23">
      <w:pPr>
        <w:pStyle w:val="Loendilik"/>
        <w:numPr>
          <w:ilvl w:val="1"/>
          <w:numId w:val="6"/>
        </w:numPr>
        <w:rPr>
          <w:rFonts w:eastAsia="Times New Roman" w:cstheme="minorHAnsi"/>
        </w:rPr>
      </w:pPr>
      <w:r w:rsidRPr="003C5E23">
        <w:rPr>
          <w:rFonts w:eastAsia="Times New Roman" w:cstheme="minorHAnsi"/>
          <w:b/>
          <w:bCs/>
        </w:rPr>
        <w:t xml:space="preserve">Vastus: </w:t>
      </w:r>
      <w:bookmarkStart w:id="2" w:name="_Hlk153793202"/>
      <w:r w:rsidRPr="003C5E23">
        <w:rPr>
          <w:rFonts w:eastAsia="Times New Roman" w:cstheme="minorHAnsi"/>
        </w:rPr>
        <w:t xml:space="preserve">Kuigi isiku otsest tuvastamist võimaldavad andmed </w:t>
      </w:r>
      <w:proofErr w:type="spellStart"/>
      <w:r w:rsidRPr="003C5E23">
        <w:rPr>
          <w:rFonts w:eastAsia="Times New Roman" w:cstheme="minorHAnsi"/>
        </w:rPr>
        <w:t>pseudonümiseeritakse</w:t>
      </w:r>
      <w:proofErr w:type="spellEnd"/>
      <w:r w:rsidRPr="003C5E23">
        <w:rPr>
          <w:rFonts w:eastAsia="Times New Roman" w:cstheme="minorHAnsi"/>
        </w:rPr>
        <w:t xml:space="preserve">, siis eelkõige süvaanalüüsi hõlmatud juhtumite puhul võib esineda asjaolusid, mis kaudselt, eri andmetest kombineerituna, võivad võimaldada seoste loomist konkreetsete isikutega. Seetõttu on vajalikud ka töövõtulepingus ning töövõtulepingu lisas 1 (andmetöötluse leping) toodud tingimused andmete töötlemise ja andmekogude säilitamise osas. Ka </w:t>
      </w:r>
      <w:proofErr w:type="spellStart"/>
      <w:r w:rsidRPr="003C5E23">
        <w:rPr>
          <w:rFonts w:eastAsia="Times New Roman" w:cstheme="minorHAnsi"/>
        </w:rPr>
        <w:t>IKS-i</w:t>
      </w:r>
      <w:proofErr w:type="spellEnd"/>
      <w:r w:rsidRPr="009F7B04">
        <w:rPr>
          <w:vertAlign w:val="superscript"/>
        </w:rPr>
        <w:footnoteReference w:id="2"/>
      </w:r>
      <w:r w:rsidRPr="003C5E23">
        <w:rPr>
          <w:rFonts w:eastAsia="Times New Roman" w:cstheme="minorHAnsi"/>
        </w:rPr>
        <w:t xml:space="preserve"> § 6 lg 1 kohaselt võib teadusuuringu eesmärgil ilma inimese nõusolekuta tema isikuandmeid töödelda vaid pseudonüümitult või samaväärset kaitset võimaldaval kujul. Kättesaadavates juhendimaterjalides </w:t>
      </w:r>
      <w:proofErr w:type="spellStart"/>
      <w:r w:rsidRPr="003C5E23">
        <w:rPr>
          <w:rFonts w:eastAsia="Times New Roman" w:cstheme="minorHAnsi"/>
        </w:rPr>
        <w:t>pseudonümiseerimise</w:t>
      </w:r>
      <w:proofErr w:type="spellEnd"/>
      <w:r w:rsidRPr="003C5E23">
        <w:rPr>
          <w:rFonts w:eastAsia="Times New Roman" w:cstheme="minorHAnsi"/>
        </w:rPr>
        <w:t xml:space="preserve"> osas, nt Tallinna Ülikooli andmekaitse juhendis</w:t>
      </w:r>
      <w:r w:rsidRPr="009F7B04">
        <w:rPr>
          <w:vertAlign w:val="superscript"/>
        </w:rPr>
        <w:footnoteReference w:id="3"/>
      </w:r>
      <w:r w:rsidRPr="003C5E23">
        <w:rPr>
          <w:rFonts w:eastAsia="Times New Roman" w:cstheme="minorHAnsi"/>
        </w:rPr>
        <w:t xml:space="preserve"> tuuakse välja, et „</w:t>
      </w:r>
      <w:proofErr w:type="spellStart"/>
      <w:r w:rsidRPr="003C5E23">
        <w:rPr>
          <w:rFonts w:eastAsia="Times New Roman" w:cstheme="minorHAnsi"/>
        </w:rPr>
        <w:t>Üldmääruse</w:t>
      </w:r>
      <w:proofErr w:type="spellEnd"/>
      <w:r w:rsidRPr="003C5E23">
        <w:rPr>
          <w:rFonts w:eastAsia="Times New Roman" w:cstheme="minorHAnsi"/>
        </w:rPr>
        <w:t xml:space="preserve"> kohaselt on </w:t>
      </w:r>
      <w:proofErr w:type="spellStart"/>
      <w:r w:rsidRPr="003C5E23">
        <w:rPr>
          <w:rFonts w:eastAsia="Times New Roman" w:cstheme="minorHAnsi"/>
        </w:rPr>
        <w:t>pseudonüümimine</w:t>
      </w:r>
      <w:proofErr w:type="spellEnd"/>
      <w:r w:rsidRPr="003C5E23">
        <w:rPr>
          <w:rFonts w:eastAsia="Times New Roman" w:cstheme="minorHAnsi"/>
        </w:rPr>
        <w:t xml:space="preserve"> isikuandmete töötlemine selliselt, et isiku tuvastamist võimaldavad andmed on eemaldatud ja asendatud pseudonüümiga, näiteks koodi või muu tunnusega. Sellised andmed on siiski isikuandmed ja nende töötlemisel tuleb järgida andmekaitse põhimõtteid. </w:t>
      </w:r>
      <w:proofErr w:type="spellStart"/>
      <w:r w:rsidRPr="003C5E23">
        <w:rPr>
          <w:rFonts w:eastAsia="Times New Roman" w:cstheme="minorHAnsi"/>
        </w:rPr>
        <w:t>Pseudonüümimine</w:t>
      </w:r>
      <w:proofErr w:type="spellEnd"/>
      <w:r w:rsidRPr="003C5E23">
        <w:rPr>
          <w:rFonts w:eastAsia="Times New Roman" w:cstheme="minorHAnsi"/>
        </w:rPr>
        <w:t xml:space="preserve"> on lisanduv kaitsemeede, millega kaitstakse andmesubjekti õigusi, kuid ei vabasta teadlast vastutusest andmekaitse nõuete järgimise eest.“</w:t>
      </w:r>
      <w:bookmarkEnd w:id="2"/>
    </w:p>
    <w:p w14:paraId="7D1EAFEA" w14:textId="77777777" w:rsidR="003C5E23" w:rsidRPr="003C5E23" w:rsidRDefault="003C5E23" w:rsidP="003C5E23">
      <w:pPr>
        <w:pStyle w:val="Loendilik"/>
        <w:ind w:left="360"/>
        <w:rPr>
          <w:rFonts w:eastAsia="Times New Roman" w:cstheme="minorHAnsi"/>
        </w:rPr>
      </w:pPr>
    </w:p>
    <w:p w14:paraId="28CB3203" w14:textId="198C26F7" w:rsidR="009F7B04" w:rsidRPr="003C5E23" w:rsidRDefault="009F7B04" w:rsidP="003C5E23">
      <w:pPr>
        <w:pStyle w:val="Loendilik"/>
        <w:numPr>
          <w:ilvl w:val="1"/>
          <w:numId w:val="6"/>
        </w:numPr>
        <w:rPr>
          <w:rFonts w:eastAsia="Times New Roman" w:cstheme="minorHAnsi"/>
        </w:rPr>
      </w:pPr>
      <w:r w:rsidRPr="003C5E23">
        <w:rPr>
          <w:rFonts w:eastAsia="Times New Roman" w:cstheme="minorHAnsi"/>
          <w:b/>
          <w:bCs/>
        </w:rPr>
        <w:t>Küsimus:</w:t>
      </w:r>
      <w:r w:rsidRPr="003C5E23">
        <w:rPr>
          <w:rFonts w:eastAsia="Times New Roman" w:cstheme="minorHAnsi"/>
        </w:rPr>
        <w:t xml:space="preserve"> Mida tähendab, et välja arvatud kui otsustakse andmed hävitada? Kas on siis võimalus, et neid säilitatakse igavesti? Kus ja miks? Isikuandmeid peaks töötlema vaid niikaua, kui see on hädapäraselt vajalik, ning ka anonüümsete andmete säilitamine igavesti volitatud töötleja poolt ei tundu põhjendatud. Hiljem on kirjutatud: „Töövõtja krüpteerib vastavad andmekogud hiljemalt kahe kuu jooksul pärast tööde üleandmist tellijale, mida töövõtja kinnitab allkirjaga eraldi aktil. Krüpteeritud andmekogu säilitamise tähtaja ja tingimused lepivad pooled kokku valmis töö üleandmisel. Seda seetõttu, et sel hetkel võib olla täiendavaid kaalutlusi andmete säilitamise aja osas (nt teadustöö, kvaliteedikontroll vms), kuid maksimaalne andmete säilitamise tähtaeg on kuni kaks aastat peale töö üleandmist.“</w:t>
      </w:r>
    </w:p>
    <w:p w14:paraId="164A6240" w14:textId="040C6268" w:rsidR="009F7B04" w:rsidRDefault="009F7B04" w:rsidP="003C5E23">
      <w:pPr>
        <w:pStyle w:val="Loendilik"/>
        <w:numPr>
          <w:ilvl w:val="1"/>
          <w:numId w:val="5"/>
        </w:numPr>
        <w:rPr>
          <w:rFonts w:eastAsia="Times New Roman" w:cstheme="minorHAnsi"/>
        </w:rPr>
      </w:pPr>
      <w:r w:rsidRPr="003C5E23">
        <w:rPr>
          <w:rFonts w:eastAsia="Times New Roman" w:cstheme="minorHAnsi"/>
          <w:b/>
          <w:bCs/>
        </w:rPr>
        <w:t>Vastus:</w:t>
      </w:r>
      <w:r w:rsidRPr="003C5E23">
        <w:rPr>
          <w:rFonts w:eastAsia="Times New Roman" w:cstheme="minorHAnsi"/>
        </w:rPr>
        <w:t xml:space="preserve"> AS Emoriga sõlmitud lepingu nr 5.2-9/3598- 1 punktis 9.7 on kokkulepitud, et: “Töövõtjal on kohustus uuringu käigus kogutud andmekogud säilitada kodeerituna ja hulgana, mis välistab nende samastamise konkreetsete isikutega, välja arvatud kui kokkuleppel tellijaga otsustatakse andmekogus olevad andmed (osaliselt või tervikuna) hävitada.“ See tähendab, et võib esineda kaalutlusi, mistõttu otsustatakse näiteks süvaanalüüsi hõlmatud andmekogud (juhtumiplaanid) hävitada neis sisalduvate juhtumite kirjelduste detailsusastme tõttu, samas laias valimis olevad </w:t>
      </w:r>
      <w:proofErr w:type="spellStart"/>
      <w:r w:rsidRPr="003C5E23">
        <w:rPr>
          <w:rFonts w:eastAsia="Times New Roman" w:cstheme="minorHAnsi"/>
        </w:rPr>
        <w:t>pseudonümiseeritud</w:t>
      </w:r>
      <w:proofErr w:type="spellEnd"/>
      <w:r w:rsidRPr="003C5E23">
        <w:rPr>
          <w:rFonts w:eastAsia="Times New Roman" w:cstheme="minorHAnsi"/>
        </w:rPr>
        <w:t xml:space="preserve"> andmekogude säilitamine võib olla vajalik vastutavale töötlejale täiendava kvaliteedikontrolli jaoks. </w:t>
      </w:r>
      <w:proofErr w:type="spellStart"/>
      <w:r w:rsidRPr="003C5E23">
        <w:rPr>
          <w:rFonts w:eastAsia="Times New Roman" w:cstheme="minorHAnsi"/>
        </w:rPr>
        <w:t>AKI-le</w:t>
      </w:r>
      <w:proofErr w:type="spellEnd"/>
      <w:r w:rsidRPr="003C5E23">
        <w:rPr>
          <w:rFonts w:eastAsia="Times New Roman" w:cstheme="minorHAnsi"/>
        </w:rPr>
        <w:t xml:space="preserve"> esitatud täiendatud taotluses on täiendavalt selgitatud andmete säilitamist ja määratud konkreetsem ja lühem tähtaeg: „AS Emoriga sõlmitud lepingu </w:t>
      </w:r>
      <w:bookmarkStart w:id="3" w:name="_Hlk153794801"/>
      <w:r w:rsidRPr="003C5E23">
        <w:rPr>
          <w:rFonts w:eastAsia="Times New Roman" w:cstheme="minorHAnsi"/>
        </w:rPr>
        <w:t xml:space="preserve">nr 5.2-9/3598- 1 punktis 4.1 </w:t>
      </w:r>
      <w:bookmarkEnd w:id="3"/>
      <w:r w:rsidRPr="003C5E23">
        <w:rPr>
          <w:rFonts w:eastAsia="Times New Roman" w:cstheme="minorHAnsi"/>
        </w:rPr>
        <w:t>on kokku lepitud, et lõppraporti mustandi üleandmine toimub mitte hiljem kui 10.05.2024. Ajakava on võimalik kohandada lepingu täitmise käigus eeldusel, et parandatud lõppraporti esitamine toimub hiljemalt 2024. a juuni lõpus. Andmekogu maksimaalne säilitamistähtaeg jääb 2024. aasta IV kvartalisse. Seda seetõttu, et sel hetkel võib olla täiendavaid kaalutlusi andmete säilitamise aja osas (nt teadustöö, kvaliteedikontroll vms).“</w:t>
      </w:r>
    </w:p>
    <w:p w14:paraId="057A7713" w14:textId="77777777" w:rsidR="003C5E23" w:rsidRPr="003C5E23" w:rsidRDefault="003C5E23" w:rsidP="003C5E23">
      <w:pPr>
        <w:pStyle w:val="Loendilik"/>
        <w:ind w:left="360"/>
        <w:rPr>
          <w:rFonts w:eastAsia="Times New Roman" w:cstheme="minorHAnsi"/>
        </w:rPr>
      </w:pPr>
    </w:p>
    <w:p w14:paraId="3EA7FDD4" w14:textId="51E10B3C" w:rsidR="009F7B04" w:rsidRPr="003C5E23" w:rsidRDefault="009F7B04" w:rsidP="003C5E23">
      <w:pPr>
        <w:pStyle w:val="Loendilik"/>
        <w:numPr>
          <w:ilvl w:val="1"/>
          <w:numId w:val="5"/>
        </w:numPr>
        <w:rPr>
          <w:rFonts w:eastAsia="Times New Roman" w:cstheme="minorHAnsi"/>
        </w:rPr>
      </w:pPr>
      <w:r w:rsidRPr="003C5E23">
        <w:rPr>
          <w:rFonts w:eastAsia="Times New Roman" w:cstheme="minorHAnsi"/>
          <w:b/>
          <w:bCs/>
        </w:rPr>
        <w:t>Küsimus:</w:t>
      </w:r>
      <w:r w:rsidRPr="003C5E23">
        <w:rPr>
          <w:rFonts w:eastAsia="Times New Roman" w:cstheme="minorHAnsi"/>
        </w:rPr>
        <w:t xml:space="preserve"> Ma eeldan, et „töö“ on raport või aruanne, mis nende andmete põhjal valmib? Miks on vaja oodata kaks kuud andmete krüpteerimisega ja miks üldse peavad töövõtjale algandmed jääma? Miks peaksid need andmed nii kaua Emoris alles olema? </w:t>
      </w:r>
      <w:proofErr w:type="spellStart"/>
      <w:r w:rsidRPr="003C5E23">
        <w:rPr>
          <w:rFonts w:eastAsia="Times New Roman" w:cstheme="minorHAnsi"/>
        </w:rPr>
        <w:t>Emorit</w:t>
      </w:r>
      <w:proofErr w:type="spellEnd"/>
      <w:r w:rsidRPr="003C5E23">
        <w:rPr>
          <w:rFonts w:eastAsia="Times New Roman" w:cstheme="minorHAnsi"/>
        </w:rPr>
        <w:t xml:space="preserve"> ei pruugi kahe aasta pärast olemaski olla.</w:t>
      </w:r>
    </w:p>
    <w:p w14:paraId="4DC179EB" w14:textId="7948426D" w:rsidR="009F7B04" w:rsidRDefault="003C5E23" w:rsidP="003C5E23">
      <w:pPr>
        <w:pStyle w:val="Loendilik"/>
        <w:numPr>
          <w:ilvl w:val="1"/>
          <w:numId w:val="6"/>
        </w:numPr>
        <w:rPr>
          <w:rFonts w:eastAsia="Times New Roman" w:cstheme="minorHAnsi"/>
        </w:rPr>
      </w:pPr>
      <w:r w:rsidRPr="003C5E23">
        <w:rPr>
          <w:rFonts w:eastAsia="Times New Roman" w:cstheme="minorHAnsi"/>
          <w:b/>
          <w:bCs/>
        </w:rPr>
        <w:lastRenderedPageBreak/>
        <w:t>Vastus:</w:t>
      </w:r>
      <w:r w:rsidRPr="003C5E23">
        <w:rPr>
          <w:rFonts w:eastAsia="Times New Roman" w:cstheme="minorHAnsi"/>
        </w:rPr>
        <w:t xml:space="preserve"> </w:t>
      </w:r>
      <w:r w:rsidR="009F7B04" w:rsidRPr="003C5E23">
        <w:rPr>
          <w:rFonts w:eastAsia="Times New Roman" w:cstheme="minorHAnsi"/>
        </w:rPr>
        <w:t>Volitatud töötlejale on kaks kuud andmete krüpteerimiseks ja edastamiseks, kuna tulenevalt töövõtulepingu punktist nr 5.2-9/3598- 1 punktist 4.1.2 on töövõtja kohustatud koostama esitluse ja tutvustama projekti tulemusi kokkuleppel tellijaga minimaalselt kahel tellija poolt välja pakutud üritusel kuni kahe kuu jooksul peale lõppraporti esitamist. See tähendab, et andmete krüpteerimine jääb lepinguperioodi sisse ning on põhjendatud kui peaks ilmnema vajadus andmete täiendavaks kvaliteedikontrolliks. Andmekogu maksimaalne säilitamistähtaeg jääb 2024. aasta IV kvartalisse</w:t>
      </w:r>
      <w:r>
        <w:rPr>
          <w:rFonts w:eastAsia="Times New Roman" w:cstheme="minorHAnsi"/>
        </w:rPr>
        <w:t>.</w:t>
      </w:r>
    </w:p>
    <w:p w14:paraId="0DA3AA06" w14:textId="77777777" w:rsidR="00205C95" w:rsidRDefault="00205C95" w:rsidP="00205C95">
      <w:pPr>
        <w:pStyle w:val="Loendilik"/>
        <w:ind w:left="360"/>
        <w:rPr>
          <w:rFonts w:eastAsia="Times New Roman" w:cstheme="minorHAnsi"/>
        </w:rPr>
      </w:pPr>
    </w:p>
    <w:p w14:paraId="54D8FA06" w14:textId="77777777" w:rsidR="00205C95" w:rsidRDefault="00205C95" w:rsidP="00205C95">
      <w:pPr>
        <w:pStyle w:val="Loendilik"/>
        <w:ind w:left="360"/>
        <w:rPr>
          <w:rFonts w:eastAsia="Times New Roman" w:cstheme="minorHAnsi"/>
        </w:rPr>
      </w:pPr>
    </w:p>
    <w:p w14:paraId="515D09A8" w14:textId="275E962F" w:rsidR="003C5E23" w:rsidRDefault="00205C95" w:rsidP="00205C95">
      <w:pPr>
        <w:pStyle w:val="Loendilik"/>
        <w:numPr>
          <w:ilvl w:val="0"/>
          <w:numId w:val="6"/>
        </w:numPr>
        <w:rPr>
          <w:rFonts w:eastAsia="Times New Roman" w:cstheme="minorHAnsi"/>
          <w:b/>
          <w:bCs/>
        </w:rPr>
      </w:pPr>
      <w:r>
        <w:rPr>
          <w:rFonts w:eastAsia="Times New Roman" w:cstheme="minorHAnsi"/>
          <w:b/>
          <w:bCs/>
        </w:rPr>
        <w:t>ring küsimusi-vastuseid</w:t>
      </w:r>
    </w:p>
    <w:p w14:paraId="32C1547E" w14:textId="77777777" w:rsidR="00205C95" w:rsidRPr="00205C95" w:rsidRDefault="00205C95" w:rsidP="00205C95">
      <w:pPr>
        <w:pStyle w:val="Loendilik"/>
        <w:ind w:left="360"/>
        <w:rPr>
          <w:rFonts w:eastAsia="Times New Roman" w:cstheme="minorHAnsi"/>
          <w:b/>
          <w:bCs/>
        </w:rPr>
      </w:pPr>
    </w:p>
    <w:p w14:paraId="126F064A" w14:textId="10A2B882" w:rsidR="009F7B04" w:rsidRPr="003C5E23" w:rsidRDefault="009F7B04" w:rsidP="003C5E23">
      <w:pPr>
        <w:pStyle w:val="Loendilik"/>
        <w:numPr>
          <w:ilvl w:val="1"/>
          <w:numId w:val="6"/>
        </w:numPr>
        <w:rPr>
          <w:rFonts w:eastAsia="Times New Roman" w:cstheme="minorHAnsi"/>
        </w:rPr>
      </w:pPr>
      <w:r w:rsidRPr="003C5E23">
        <w:rPr>
          <w:rFonts w:eastAsia="Times New Roman" w:cstheme="minorHAnsi"/>
          <w:b/>
          <w:bCs/>
        </w:rPr>
        <w:t>Küsimus:</w:t>
      </w:r>
      <w:r w:rsidRPr="003C5E23">
        <w:rPr>
          <w:rFonts w:eastAsia="Times New Roman" w:cstheme="minorHAnsi"/>
        </w:rPr>
        <w:t xml:space="preserve"> Üks tähelepanek. Kui „</w:t>
      </w:r>
      <w:proofErr w:type="spellStart"/>
      <w:r w:rsidRPr="003C5E23">
        <w:rPr>
          <w:rFonts w:eastAsia="Times New Roman" w:cstheme="minorHAnsi"/>
        </w:rPr>
        <w:t>Pseudonümiseeritud</w:t>
      </w:r>
      <w:proofErr w:type="spellEnd"/>
      <w:r w:rsidRPr="003C5E23">
        <w:rPr>
          <w:rFonts w:eastAsia="Times New Roman" w:cstheme="minorHAnsi"/>
        </w:rPr>
        <w:t xml:space="preserve"> andmeid ei ole võimalik uuesti isikustatud kujule viia, kuna </w:t>
      </w:r>
      <w:proofErr w:type="spellStart"/>
      <w:r w:rsidRPr="003C5E23">
        <w:rPr>
          <w:rFonts w:eastAsia="Times New Roman" w:cstheme="minorHAnsi"/>
        </w:rPr>
        <w:t>pseudonümiseerimise</w:t>
      </w:r>
      <w:proofErr w:type="spellEnd"/>
      <w:r w:rsidRPr="003C5E23">
        <w:rPr>
          <w:rFonts w:eastAsia="Times New Roman" w:cstheme="minorHAnsi"/>
        </w:rPr>
        <w:t xml:space="preserve"> käigus võivad valemi alusel isikukoodi erinevatele numbritele antud sümbolid korduda (samas on tagatud pseudonüümide unikaalsus, et eristada juhtumeid).“ siis ei ole tegemist </w:t>
      </w:r>
      <w:proofErr w:type="spellStart"/>
      <w:r w:rsidRPr="003C5E23">
        <w:rPr>
          <w:rFonts w:eastAsia="Times New Roman" w:cstheme="minorHAnsi"/>
        </w:rPr>
        <w:t>pseudonüümimisega</w:t>
      </w:r>
      <w:proofErr w:type="spellEnd"/>
      <w:r w:rsidRPr="003C5E23">
        <w:rPr>
          <w:rFonts w:eastAsia="Times New Roman" w:cstheme="minorHAnsi"/>
        </w:rPr>
        <w:t xml:space="preserve"> klassikalises mõttes, vaid lihtsalt igale uuritavale antakse unikaalne kood. </w:t>
      </w:r>
    </w:p>
    <w:p w14:paraId="4850F729" w14:textId="4E7C224B" w:rsidR="009F7B04" w:rsidRPr="00887D4D" w:rsidRDefault="009F7B04" w:rsidP="00887D4D">
      <w:pPr>
        <w:pStyle w:val="Loendilik"/>
        <w:numPr>
          <w:ilvl w:val="1"/>
          <w:numId w:val="9"/>
        </w:numPr>
        <w:rPr>
          <w:rFonts w:eastAsia="Times New Roman" w:cstheme="minorHAnsi"/>
        </w:rPr>
      </w:pPr>
      <w:r w:rsidRPr="00887D4D">
        <w:rPr>
          <w:rFonts w:eastAsia="Times New Roman" w:cstheme="minorHAnsi"/>
          <w:b/>
          <w:bCs/>
        </w:rPr>
        <w:t>Vastus:</w:t>
      </w:r>
      <w:r w:rsidRPr="00887D4D">
        <w:rPr>
          <w:rFonts w:eastAsia="Times New Roman" w:cstheme="minorHAnsi"/>
        </w:rPr>
        <w:t xml:space="preserve"> </w:t>
      </w:r>
      <w:proofErr w:type="spellStart"/>
      <w:r w:rsidRPr="00887D4D">
        <w:rPr>
          <w:rFonts w:eastAsia="Times New Roman" w:cstheme="minorHAnsi"/>
        </w:rPr>
        <w:t>Pseudonümiseerimisel</w:t>
      </w:r>
      <w:proofErr w:type="spellEnd"/>
      <w:r w:rsidRPr="00887D4D">
        <w:rPr>
          <w:rFonts w:eastAsia="Times New Roman" w:cstheme="minorHAnsi"/>
        </w:rPr>
        <w:t xml:space="preserve"> lähtutakse Euroopa Liidu </w:t>
      </w:r>
      <w:proofErr w:type="spellStart"/>
      <w:r w:rsidRPr="00887D4D">
        <w:rPr>
          <w:rFonts w:eastAsia="Times New Roman" w:cstheme="minorHAnsi"/>
        </w:rPr>
        <w:t>Küberturvalisuse</w:t>
      </w:r>
      <w:proofErr w:type="spellEnd"/>
      <w:r w:rsidRPr="00887D4D">
        <w:rPr>
          <w:rFonts w:eastAsia="Times New Roman" w:cstheme="minorHAnsi"/>
        </w:rPr>
        <w:t xml:space="preserve"> Ameti (ENISA) juhendist</w:t>
      </w:r>
      <w:r w:rsidRPr="009F7B04">
        <w:rPr>
          <w:vertAlign w:val="superscript"/>
        </w:rPr>
        <w:footnoteReference w:id="4"/>
      </w:r>
      <w:r w:rsidRPr="00887D4D">
        <w:rPr>
          <w:rFonts w:eastAsia="Times New Roman" w:cstheme="minorHAnsi"/>
        </w:rPr>
        <w:t xml:space="preserve"> </w:t>
      </w:r>
      <w:proofErr w:type="spellStart"/>
      <w:r w:rsidRPr="00887D4D">
        <w:rPr>
          <w:rFonts w:eastAsia="Times New Roman" w:cstheme="minorHAnsi"/>
        </w:rPr>
        <w:t>pseudonüümimisvõtete</w:t>
      </w:r>
      <w:proofErr w:type="spellEnd"/>
      <w:r w:rsidRPr="00887D4D">
        <w:rPr>
          <w:rFonts w:eastAsia="Times New Roman" w:cstheme="minorHAnsi"/>
        </w:rPr>
        <w:t xml:space="preserve"> ja parimate tavade kohta, kus Lasteabi tulemuslikkuse uuringu raames andmete edastamist kirjeldab mudel 3 </w:t>
      </w:r>
      <w:proofErr w:type="spellStart"/>
      <w:r w:rsidRPr="00887D4D">
        <w:rPr>
          <w:rFonts w:eastAsia="Times New Roman" w:cstheme="minorHAnsi"/>
        </w:rPr>
        <w:t>Pseudonümiseeritud</w:t>
      </w:r>
      <w:proofErr w:type="spellEnd"/>
      <w:r w:rsidRPr="00887D4D">
        <w:rPr>
          <w:rFonts w:eastAsia="Times New Roman" w:cstheme="minorHAnsi"/>
        </w:rPr>
        <w:t xml:space="preserve"> andmete edastamine töötlejale. Vastutav andmetöötleja viib läbi </w:t>
      </w:r>
      <w:proofErr w:type="spellStart"/>
      <w:r w:rsidRPr="00887D4D">
        <w:rPr>
          <w:rFonts w:eastAsia="Times New Roman" w:cstheme="minorHAnsi"/>
        </w:rPr>
        <w:t>pseudonümiseerimise</w:t>
      </w:r>
      <w:proofErr w:type="spellEnd"/>
      <w:r w:rsidRPr="00887D4D">
        <w:rPr>
          <w:rFonts w:eastAsia="Times New Roman" w:cstheme="minorHAnsi"/>
        </w:rPr>
        <w:t xml:space="preserve">, kuid volitatud töötlejat protsessi ei kaasata, vaid volitatud töötleja ainult võtab vastu vastutavalt töötlejalt pseudonüümseks muudetud andmed. Volitatud töötleja jaoks ei ole pseudonüümid tagasipööratavad. Ka vastutav töötleja ei saa andmeid </w:t>
      </w:r>
      <w:proofErr w:type="spellStart"/>
      <w:r w:rsidRPr="00887D4D">
        <w:rPr>
          <w:rFonts w:eastAsia="Times New Roman" w:cstheme="minorHAnsi"/>
        </w:rPr>
        <w:t>depseudonümiseerida</w:t>
      </w:r>
      <w:proofErr w:type="spellEnd"/>
      <w:r w:rsidRPr="00887D4D">
        <w:rPr>
          <w:rFonts w:eastAsia="Times New Roman" w:cstheme="minorHAnsi"/>
        </w:rPr>
        <w:t xml:space="preserve"> valemi abil, vaid pseudonüümide isikutega seostamiseks luuakse pseudonüümi võti, mida säilitatakse andmetest eraldi (võtme säilitamist on eelnevalt selgitatud küsimusele nr 2 antud vastuses). </w:t>
      </w:r>
      <w:proofErr w:type="spellStart"/>
      <w:r w:rsidRPr="00887D4D">
        <w:rPr>
          <w:rFonts w:eastAsia="Times New Roman" w:cstheme="minorHAnsi"/>
        </w:rPr>
        <w:t>Pseudonümiseerimise</w:t>
      </w:r>
      <w:proofErr w:type="spellEnd"/>
      <w:r w:rsidRPr="00887D4D">
        <w:rPr>
          <w:rFonts w:eastAsia="Times New Roman" w:cstheme="minorHAnsi"/>
        </w:rPr>
        <w:t xml:space="preserve"> tehnika aluseks on jaotises 5.2 käsitletud </w:t>
      </w:r>
      <w:proofErr w:type="spellStart"/>
      <w:r w:rsidRPr="00887D4D">
        <w:rPr>
          <w:rFonts w:eastAsia="Times New Roman" w:cstheme="minorHAnsi"/>
        </w:rPr>
        <w:t>Random</w:t>
      </w:r>
      <w:proofErr w:type="spellEnd"/>
      <w:r w:rsidRPr="00887D4D">
        <w:rPr>
          <w:rFonts w:eastAsia="Times New Roman" w:cstheme="minorHAnsi"/>
        </w:rPr>
        <w:t xml:space="preserve"> number </w:t>
      </w:r>
      <w:proofErr w:type="spellStart"/>
      <w:r w:rsidRPr="00887D4D">
        <w:rPr>
          <w:rFonts w:eastAsia="Times New Roman" w:cstheme="minorHAnsi"/>
        </w:rPr>
        <w:t>generator</w:t>
      </w:r>
      <w:proofErr w:type="spellEnd"/>
      <w:r w:rsidRPr="00887D4D">
        <w:rPr>
          <w:rFonts w:eastAsia="Times New Roman" w:cstheme="minorHAnsi"/>
        </w:rPr>
        <w:t xml:space="preserve"> (RNG), mis käsiraamatu alusel pakub tugevat andmete kaitset.</w:t>
      </w:r>
    </w:p>
    <w:p w14:paraId="1AE29CD4" w14:textId="77777777" w:rsidR="003C5E23" w:rsidRPr="003C5E23" w:rsidRDefault="003C5E23" w:rsidP="003C5E23">
      <w:pPr>
        <w:pStyle w:val="Loendilik"/>
        <w:ind w:left="360"/>
        <w:rPr>
          <w:rFonts w:eastAsia="Times New Roman" w:cstheme="minorHAnsi"/>
        </w:rPr>
      </w:pPr>
    </w:p>
    <w:p w14:paraId="4071DDAC" w14:textId="19454873" w:rsidR="003C5E23" w:rsidRPr="003C5E23" w:rsidRDefault="009F7B04" w:rsidP="00887D4D">
      <w:pPr>
        <w:pStyle w:val="Loendilik"/>
        <w:numPr>
          <w:ilvl w:val="1"/>
          <w:numId w:val="6"/>
        </w:numPr>
        <w:rPr>
          <w:rFonts w:eastAsia="Times New Roman" w:cstheme="minorHAnsi"/>
        </w:rPr>
      </w:pPr>
      <w:r w:rsidRPr="003C5E23">
        <w:rPr>
          <w:rFonts w:eastAsia="Times New Roman" w:cstheme="minorHAnsi"/>
          <w:b/>
          <w:bCs/>
        </w:rPr>
        <w:t>Küsimus:</w:t>
      </w:r>
      <w:r w:rsidRPr="003C5E23">
        <w:rPr>
          <w:rFonts w:eastAsia="Times New Roman" w:cstheme="minorHAnsi"/>
        </w:rPr>
        <w:t xml:space="preserve"> Eraldi teema on see, kas kõigi loetelus olevate tunnusete abil on siiski võimalik mõnda uuritavat kaudselt tuvastada, mis tähendaks, et toimub isikuandmete töötlemine. Näiteks meile alles nüüd saadetud </w:t>
      </w:r>
      <w:proofErr w:type="spellStart"/>
      <w:r w:rsidRPr="003C5E23">
        <w:rPr>
          <w:rFonts w:eastAsia="Times New Roman" w:cstheme="minorHAnsi"/>
        </w:rPr>
        <w:t>xls</w:t>
      </w:r>
      <w:proofErr w:type="spellEnd"/>
      <w:r w:rsidRPr="003C5E23">
        <w:rPr>
          <w:rFonts w:eastAsia="Times New Roman" w:cstheme="minorHAnsi"/>
        </w:rPr>
        <w:t xml:space="preserve"> failist selgub, et päritakse lapse vanus kuu ja aasta täpsusega. Miks on vajalik kuu ja aasta, mitte lihtsalt vanus täisaastates? Kui küsitakse veel valda/Tallinna linnaosa ning surmaaega kuu ja aasta täpsusega, siis mõni väiksema piirkonna laps muutub kindlasti üheselt tuvastatavaks. Selgusetuks jääb ka „soo“ tunnuse kasutamine.</w:t>
      </w:r>
    </w:p>
    <w:p w14:paraId="40510857" w14:textId="62C9B0B9" w:rsidR="006C0638" w:rsidRDefault="009F7B04" w:rsidP="006C0638">
      <w:pPr>
        <w:pStyle w:val="Loendilik"/>
        <w:numPr>
          <w:ilvl w:val="1"/>
          <w:numId w:val="9"/>
        </w:numPr>
      </w:pPr>
      <w:bookmarkStart w:id="4" w:name="_Hlk155369829"/>
      <w:r w:rsidRPr="006C0638">
        <w:rPr>
          <w:rFonts w:eastAsia="Times New Roman" w:cstheme="minorHAnsi"/>
          <w:b/>
          <w:bCs/>
        </w:rPr>
        <w:t xml:space="preserve">Vastus: </w:t>
      </w:r>
      <w:r w:rsidRPr="006C0638">
        <w:rPr>
          <w:rFonts w:eastAsia="Times New Roman" w:cstheme="minorHAnsi"/>
        </w:rPr>
        <w:t xml:space="preserve">Esineb võimalus, et eri andmetest kombineerituna on võimalik luua seoseid konkreetsete isikutega. Seetõttu on vajalikud ka töövõtulepingus ning töövõtulepingu lisas (andmetöötluse leping)  toodud tingimused andmete töötlemise ja andmekogude säilitamise osas. Kuu ja aasta täpsusega sünniaeg võimaldab volitatud töötlejal teha täpsemaid arvutusi lapse vanuse osas menetluse algatamise hetkel, mida ei võimalda lapse vanus kindla kuupäeva seisuga. Surma kuu ja aasta võimaldab paigutada ajajoonel ligikaudse surma hetke ja teha järeldusi juhtumi käigu osas (nt kas lapse perest eraldamise hetkel oli vanem elus). Aadressi täpsusastet arutasime täiendavalt uuringufirmaga ning lähtusime aadressi detailsusastme otsustamisel, et tööpraktikad linnaosade lõikes võivad oluliselt erineda ning Tallinna linnaosade elanike arv ületab Eesti väiksemate </w:t>
      </w:r>
      <w:proofErr w:type="spellStart"/>
      <w:r w:rsidRPr="006C0638">
        <w:rPr>
          <w:rFonts w:eastAsia="Times New Roman" w:cstheme="minorHAnsi"/>
        </w:rPr>
        <w:t>KOV-ide</w:t>
      </w:r>
      <w:proofErr w:type="spellEnd"/>
      <w:r w:rsidRPr="006C0638">
        <w:rPr>
          <w:rFonts w:eastAsia="Times New Roman" w:cstheme="minorHAnsi"/>
        </w:rPr>
        <w:t xml:space="preserve"> elanikke arvu. </w:t>
      </w:r>
      <w:r w:rsidR="006C0638">
        <w:t xml:space="preserve">Selgusetuks jääb ka „soo“ tunnuse kasutamine“. Soo tunnust kasutame analüüsis ja soo tunnuse saame isikukoodist enne </w:t>
      </w:r>
      <w:proofErr w:type="spellStart"/>
      <w:r w:rsidR="006C0638">
        <w:t>pseudonümiseerimist</w:t>
      </w:r>
      <w:proofErr w:type="spellEnd"/>
      <w:r w:rsidR="006C0638">
        <w:t>.</w:t>
      </w:r>
    </w:p>
    <w:bookmarkEnd w:id="4"/>
    <w:p w14:paraId="50D8F227" w14:textId="7FB9BA5B" w:rsidR="009F7B04" w:rsidRPr="00887D4D" w:rsidRDefault="009F7B04" w:rsidP="006C0638">
      <w:pPr>
        <w:pStyle w:val="Loendilik"/>
        <w:ind w:left="360"/>
        <w:rPr>
          <w:rFonts w:eastAsia="Times New Roman" w:cstheme="minorHAnsi"/>
        </w:rPr>
      </w:pPr>
    </w:p>
    <w:p w14:paraId="01F8AE4A" w14:textId="77777777" w:rsidR="009F7B04" w:rsidRDefault="009F7B04" w:rsidP="00770E59">
      <w:pPr>
        <w:rPr>
          <w:rFonts w:eastAsia="Times New Roman" w:cstheme="minorHAnsi"/>
        </w:rPr>
      </w:pPr>
    </w:p>
    <w:p w14:paraId="70B6C380" w14:textId="77777777" w:rsidR="009F7B04" w:rsidRPr="00917691" w:rsidRDefault="009F7B04" w:rsidP="00770E59"/>
    <w:p w14:paraId="7C272C38" w14:textId="7A891420" w:rsidR="00770E59" w:rsidRDefault="00205C95" w:rsidP="00A15DCA">
      <w:pPr>
        <w:pStyle w:val="Loendilik"/>
        <w:numPr>
          <w:ilvl w:val="0"/>
          <w:numId w:val="11"/>
        </w:numPr>
        <w:rPr>
          <w:rFonts w:eastAsia="Times New Roman" w:cstheme="minorHAnsi"/>
          <w:b/>
          <w:bCs/>
        </w:rPr>
      </w:pPr>
      <w:r w:rsidRPr="00205C95">
        <w:rPr>
          <w:rFonts w:eastAsia="Times New Roman" w:cstheme="minorHAnsi"/>
          <w:b/>
          <w:bCs/>
        </w:rPr>
        <w:t>ring küsimusi-vastusei</w:t>
      </w:r>
      <w:r>
        <w:rPr>
          <w:rFonts w:eastAsia="Times New Roman" w:cstheme="minorHAnsi"/>
          <w:b/>
          <w:bCs/>
        </w:rPr>
        <w:t>d</w:t>
      </w:r>
    </w:p>
    <w:p w14:paraId="698BF0CC" w14:textId="77777777" w:rsidR="00205C95" w:rsidRPr="00205C95" w:rsidRDefault="00205C95" w:rsidP="00205C95">
      <w:pPr>
        <w:pStyle w:val="Loendilik"/>
        <w:ind w:left="360"/>
        <w:rPr>
          <w:rFonts w:eastAsia="Times New Roman" w:cstheme="minorHAnsi"/>
          <w:b/>
          <w:bCs/>
        </w:rPr>
      </w:pPr>
    </w:p>
    <w:p w14:paraId="4BD431F8" w14:textId="77777777" w:rsidR="00A15DCA" w:rsidRPr="00A15DCA" w:rsidRDefault="00A15DCA" w:rsidP="00A15DCA">
      <w:pPr>
        <w:pStyle w:val="Loendilik"/>
        <w:numPr>
          <w:ilvl w:val="1"/>
          <w:numId w:val="11"/>
        </w:numPr>
      </w:pPr>
      <w:r>
        <w:rPr>
          <w:rFonts w:eastAsia="Times New Roman" w:cstheme="minorHAnsi"/>
          <w:b/>
          <w:bCs/>
        </w:rPr>
        <w:t>Küsimus</w:t>
      </w:r>
      <w:r w:rsidRPr="00A15DCA">
        <w:rPr>
          <w:rFonts w:eastAsia="Times New Roman" w:cstheme="minorHAnsi"/>
          <w:b/>
          <w:bCs/>
        </w:rPr>
        <w:t>:</w:t>
      </w:r>
      <w:r>
        <w:rPr>
          <w:rFonts w:eastAsia="Times New Roman" w:cstheme="minorHAnsi"/>
          <w:b/>
          <w:bCs/>
        </w:rPr>
        <w:t xml:space="preserve"> </w:t>
      </w:r>
      <w:r>
        <w:t xml:space="preserve">Ma ei leidnud läbi vaadates selget EMOR poolset kirjeldust, kuidas nad kohustuvad </w:t>
      </w:r>
      <w:r w:rsidRPr="00A15DCA">
        <w:rPr>
          <w:rFonts w:eastAsia="Times New Roman" w:cstheme="minorHAnsi"/>
        </w:rPr>
        <w:t>andmeid hoidma - mis arvutis (kas sülearvuti, mida võetakse ka kodukontorisse?). Kui hoitakse mitmes, siis kõigi kirjeldus vajalik, kuidas tagatakse andmete hoidmise turvalisus ja  kes pääseb ligi? Eeldan, et nad on selle läbi mõelnud, aga hea oleks näha kirjapanduna (mitte viitena regulatsioonile, vaid reaalselt kuidas EMORis toimub). Seda on niikuinii vaja ka lepingu sõlmimisel selle inimesega, kes neid andmeid analüüsib</w:t>
      </w:r>
      <w:r>
        <w:rPr>
          <w:rFonts w:eastAsia="Times New Roman" w:cstheme="minorHAnsi"/>
        </w:rPr>
        <w:t>.</w:t>
      </w:r>
    </w:p>
    <w:p w14:paraId="7F60E1E2" w14:textId="5F335E4B" w:rsidR="00A15DCA" w:rsidRDefault="00A15DCA" w:rsidP="00A15DCA">
      <w:pPr>
        <w:pStyle w:val="Loendilik"/>
        <w:numPr>
          <w:ilvl w:val="1"/>
          <w:numId w:val="16"/>
        </w:numPr>
      </w:pPr>
      <w:r w:rsidRPr="00A15DCA">
        <w:rPr>
          <w:b/>
          <w:bCs/>
        </w:rPr>
        <w:t>Vastus:</w:t>
      </w:r>
      <w:r>
        <w:t xml:space="preserve"> Emor hoiab andmeid turvatud võrgukettal, millel on ligipääs läbi turvalise ühenduse vaid õigustatud isikutel.</w:t>
      </w:r>
    </w:p>
    <w:p w14:paraId="34BBA42F" w14:textId="77777777" w:rsidR="00A15DCA" w:rsidRDefault="00A15DCA" w:rsidP="00A15DCA">
      <w:pPr>
        <w:pStyle w:val="Loendilik"/>
        <w:ind w:left="360"/>
      </w:pPr>
    </w:p>
    <w:p w14:paraId="702C3601" w14:textId="4E696354" w:rsidR="00A15DCA" w:rsidRPr="00A15DCA" w:rsidRDefault="00A15DCA" w:rsidP="00A15DCA">
      <w:pPr>
        <w:pStyle w:val="Loendilik"/>
        <w:numPr>
          <w:ilvl w:val="1"/>
          <w:numId w:val="11"/>
        </w:numPr>
      </w:pPr>
      <w:r>
        <w:rPr>
          <w:rFonts w:eastAsia="Times New Roman" w:cstheme="minorHAnsi"/>
          <w:b/>
          <w:bCs/>
        </w:rPr>
        <w:t>Küsimus</w:t>
      </w:r>
      <w:r w:rsidRPr="00A15DCA">
        <w:rPr>
          <w:rFonts w:eastAsia="Times New Roman" w:cstheme="minorHAnsi"/>
          <w:b/>
          <w:bCs/>
        </w:rPr>
        <w:t>:</w:t>
      </w:r>
      <w:r>
        <w:rPr>
          <w:rFonts w:eastAsia="Times New Roman" w:cstheme="minorHAnsi"/>
          <w:b/>
          <w:bCs/>
        </w:rPr>
        <w:t xml:space="preserve"> </w:t>
      </w:r>
      <w:r>
        <w:t>Pseudonüümide/koodide (heal lapsel mitu nime) teema on minu kui pidevalt juhuslike arvude generaatorit kasutaja jaoks enam-vähem OK. Andmete kustutamise teemaga ma ka edasi ei tegeleks (see on pikem teema, aga praegused algandmed on nagunii vajadusel uuesti algallikast tekitatavad), küll aga tuleks fikseerida, kuidas on ligipääs reguleeritud võimaliku edasise tegevuse (kontroll, teadustöö, vms) käigus võimalike protsessi lisanduvate isikute osas (või on  üheselt fikseeritud, et ühtegi uut isikut ei kaasata).</w:t>
      </w:r>
    </w:p>
    <w:p w14:paraId="6B20BD72" w14:textId="066C59FF" w:rsidR="00A15DCA" w:rsidRDefault="00A15DCA" w:rsidP="00A15DCA">
      <w:pPr>
        <w:pStyle w:val="Loendilik"/>
        <w:numPr>
          <w:ilvl w:val="1"/>
          <w:numId w:val="16"/>
        </w:numPr>
      </w:pPr>
      <w:r w:rsidRPr="00A15DCA">
        <w:rPr>
          <w:b/>
          <w:bCs/>
        </w:rPr>
        <w:t>Vastus:</w:t>
      </w:r>
      <w:r>
        <w:t xml:space="preserve"> </w:t>
      </w:r>
      <w:r w:rsidRPr="00A15DCA">
        <w:t>Andmeid töötlevate isikute ringi ei ole plaanis laiendada. Kui selleks peaks ilmnema vältimatu vajadus, siis tehakse seda vastavalt ettenähtud regulatsioonidele.</w:t>
      </w:r>
    </w:p>
    <w:p w14:paraId="6FDF9E20" w14:textId="42C69888" w:rsidR="00A15DCA" w:rsidRPr="00A15DCA" w:rsidRDefault="00A15DCA" w:rsidP="00A15DCA">
      <w:pPr>
        <w:rPr>
          <w:rFonts w:eastAsia="Times New Roman" w:cstheme="minorHAnsi"/>
          <w:b/>
          <w:bCs/>
        </w:rPr>
      </w:pPr>
    </w:p>
    <w:p w14:paraId="188BE611" w14:textId="67F68586" w:rsidR="00205C95" w:rsidRPr="005972A3" w:rsidRDefault="00A15DCA" w:rsidP="00A15DCA">
      <w:pPr>
        <w:rPr>
          <w:rFonts w:eastAsia="Times New Roman" w:cstheme="minorHAnsi"/>
          <w:b/>
          <w:bCs/>
        </w:rPr>
      </w:pPr>
      <w:r w:rsidRPr="005972A3">
        <w:rPr>
          <w:rFonts w:eastAsia="Times New Roman" w:cstheme="minorHAnsi"/>
          <w:b/>
          <w:bCs/>
        </w:rPr>
        <w:t> </w:t>
      </w:r>
    </w:p>
    <w:p w14:paraId="33468D4E" w14:textId="77777777" w:rsidR="00034088" w:rsidRPr="00DE04D7" w:rsidRDefault="00034088" w:rsidP="002732F3">
      <w:pPr>
        <w:tabs>
          <w:tab w:val="left" w:pos="5245"/>
        </w:tabs>
        <w:spacing w:before="120" w:after="120" w:line="240" w:lineRule="auto"/>
        <w:rPr>
          <w:rFonts w:cstheme="minorHAnsi"/>
          <w:color w:val="000000" w:themeColor="text1"/>
        </w:rPr>
      </w:pPr>
    </w:p>
    <w:sectPr w:rsidR="00034088" w:rsidRPr="00DE04D7" w:rsidSect="001C63C2">
      <w:pgSz w:w="11906" w:h="16838"/>
      <w:pgMar w:top="1134" w:right="851" w:bottom="1134"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A7105" w14:textId="77777777" w:rsidR="00DE04D7" w:rsidRDefault="00DE04D7" w:rsidP="00DE04D7">
      <w:pPr>
        <w:spacing w:after="0" w:line="240" w:lineRule="auto"/>
      </w:pPr>
      <w:r>
        <w:separator/>
      </w:r>
    </w:p>
  </w:endnote>
  <w:endnote w:type="continuationSeparator" w:id="0">
    <w:p w14:paraId="7F311239" w14:textId="77777777" w:rsidR="00DE04D7" w:rsidRDefault="00DE04D7" w:rsidP="00DE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A90DD" w14:textId="77777777" w:rsidR="00DE04D7" w:rsidRDefault="00DE04D7" w:rsidP="00DE04D7">
      <w:pPr>
        <w:spacing w:after="0" w:line="240" w:lineRule="auto"/>
      </w:pPr>
      <w:r>
        <w:separator/>
      </w:r>
    </w:p>
  </w:footnote>
  <w:footnote w:type="continuationSeparator" w:id="0">
    <w:p w14:paraId="115BC26E" w14:textId="77777777" w:rsidR="00DE04D7" w:rsidRDefault="00DE04D7" w:rsidP="00DE04D7">
      <w:pPr>
        <w:spacing w:after="0" w:line="240" w:lineRule="auto"/>
      </w:pPr>
      <w:r>
        <w:continuationSeparator/>
      </w:r>
    </w:p>
  </w:footnote>
  <w:footnote w:id="1">
    <w:p w14:paraId="2DCE9FE8" w14:textId="77777777" w:rsidR="009F7B04" w:rsidRDefault="009F7B04" w:rsidP="009F7B04">
      <w:pPr>
        <w:pStyle w:val="Allmrkusetekst"/>
        <w:rPr>
          <w:rFonts w:ascii="Arial" w:hAnsi="Arial" w:cs="Arial"/>
        </w:rPr>
      </w:pPr>
      <w:r>
        <w:rPr>
          <w:rStyle w:val="Allmrkuseviide"/>
          <w:rFonts w:ascii="Arial" w:hAnsi="Arial" w:cs="Arial"/>
        </w:rPr>
        <w:footnoteRef/>
      </w:r>
      <w:r>
        <w:rPr>
          <w:rFonts w:ascii="Arial" w:hAnsi="Arial" w:cs="Arial"/>
        </w:rPr>
        <w:t xml:space="preserve"> Pseudonymisation techniques and best practices (2019). European Union Agency for Cybersecurity (ENISA) file:///C:/Users/kristi.asser/Downloads/Guidelines%20on%20shaping%20technology%20according%20to%20GDPR%20provisions.pdf Kasutatud 18.12.2023</w:t>
      </w:r>
    </w:p>
  </w:footnote>
  <w:footnote w:id="2">
    <w:p w14:paraId="6AD943AC" w14:textId="77777777" w:rsidR="009F7B04" w:rsidRDefault="009F7B04" w:rsidP="009F7B04">
      <w:pPr>
        <w:pStyle w:val="Allmrkusetekst"/>
        <w:rPr>
          <w:rFonts w:ascii="Arial" w:hAnsi="Arial" w:cs="Arial"/>
        </w:rPr>
      </w:pPr>
      <w:r>
        <w:rPr>
          <w:rStyle w:val="Allmrkuseviide"/>
          <w:rFonts w:ascii="Arial" w:hAnsi="Arial" w:cs="Arial"/>
        </w:rPr>
        <w:footnoteRef/>
      </w:r>
      <w:r>
        <w:rPr>
          <w:rFonts w:ascii="Arial" w:hAnsi="Arial" w:cs="Arial"/>
        </w:rPr>
        <w:t xml:space="preserve"> Isikuandmete kaitse seadus </w:t>
      </w:r>
      <w:hyperlink r:id="rId1" w:history="1">
        <w:r>
          <w:rPr>
            <w:rStyle w:val="Hperlink"/>
            <w:rFonts w:ascii="Arial" w:hAnsi="Arial" w:cs="Arial"/>
          </w:rPr>
          <w:t>https://www.riigiteataja.ee/akt/104012019011#para6</w:t>
        </w:r>
      </w:hyperlink>
      <w:r>
        <w:rPr>
          <w:rFonts w:ascii="Arial" w:hAnsi="Arial" w:cs="Arial"/>
        </w:rPr>
        <w:t xml:space="preserve"> Kasutatud 18.12.2021</w:t>
      </w:r>
    </w:p>
  </w:footnote>
  <w:footnote w:id="3">
    <w:p w14:paraId="2C0606C3" w14:textId="77777777" w:rsidR="009F7B04" w:rsidRDefault="009F7B04" w:rsidP="009F7B04">
      <w:pPr>
        <w:pStyle w:val="Allmrkusetekst"/>
        <w:rPr>
          <w:rFonts w:ascii="Arial" w:hAnsi="Arial" w:cs="Arial"/>
        </w:rPr>
      </w:pPr>
      <w:r>
        <w:rPr>
          <w:rStyle w:val="Allmrkuseviide"/>
          <w:rFonts w:ascii="Arial" w:hAnsi="Arial" w:cs="Arial"/>
        </w:rPr>
        <w:footnoteRef/>
      </w:r>
      <w:r>
        <w:rPr>
          <w:rFonts w:ascii="Arial" w:hAnsi="Arial" w:cs="Arial"/>
        </w:rPr>
        <w:t xml:space="preserve"> Pihlaks, G. (2022). Andmekaitse juhend: Isikuandmete töötlemine teadustöös (2022). Tallinna Ülikool</w:t>
      </w:r>
    </w:p>
    <w:p w14:paraId="7E3E2241" w14:textId="77777777" w:rsidR="009F7B04" w:rsidRDefault="00677519" w:rsidP="009F7B04">
      <w:pPr>
        <w:pStyle w:val="Allmrkusetekst"/>
        <w:rPr>
          <w:rFonts w:ascii="Arial" w:hAnsi="Arial" w:cs="Arial"/>
        </w:rPr>
      </w:pPr>
      <w:hyperlink r:id="rId2" w:history="1">
        <w:r w:rsidR="009F7B04">
          <w:rPr>
            <w:rStyle w:val="Hperlink"/>
            <w:rFonts w:ascii="Arial" w:hAnsi="Arial" w:cs="Arial"/>
          </w:rPr>
          <w:t>https://www.tlu.ee/sites/default/files/TUKO/veeb/failid/Andmekaitse_juhend_Isikuandmete_tootlemine_teadustoos_092022_final.pdf</w:t>
        </w:r>
      </w:hyperlink>
      <w:r w:rsidR="009F7B04">
        <w:rPr>
          <w:rFonts w:ascii="Arial" w:hAnsi="Arial" w:cs="Arial"/>
        </w:rPr>
        <w:t xml:space="preserve"> Kasutatud 18.12.2021</w:t>
      </w:r>
    </w:p>
  </w:footnote>
  <w:footnote w:id="4">
    <w:p w14:paraId="30B51964" w14:textId="77777777" w:rsidR="009F7B04" w:rsidRDefault="009F7B04" w:rsidP="009F7B04">
      <w:pPr>
        <w:pStyle w:val="Allmrkusetekst"/>
        <w:rPr>
          <w:rFonts w:ascii="Arial" w:hAnsi="Arial" w:cs="Arial"/>
        </w:rPr>
      </w:pPr>
      <w:r>
        <w:rPr>
          <w:rStyle w:val="Allmrkuseviide"/>
          <w:rFonts w:ascii="Arial" w:hAnsi="Arial" w:cs="Arial"/>
        </w:rPr>
        <w:footnoteRef/>
      </w:r>
      <w:r>
        <w:rPr>
          <w:rFonts w:ascii="Arial" w:hAnsi="Arial" w:cs="Arial"/>
        </w:rPr>
        <w:t xml:space="preserve"> Pseudonymisation techniques and best practices (2019). European Union Agency for Cybersecurity (ENISA) </w:t>
      </w:r>
      <w:hyperlink r:id="rId3" w:history="1">
        <w:r>
          <w:rPr>
            <w:rStyle w:val="Hperlink"/>
            <w:rFonts w:ascii="Arial" w:hAnsi="Arial" w:cs="Arial"/>
          </w:rPr>
          <w:t>file:///C:/Users/kristi.asser/Downloads/Guidelines%20on%20shaping%20technology%20according%20to%20GDPR%20provisions.pdf</w:t>
        </w:r>
      </w:hyperlink>
      <w:r>
        <w:rPr>
          <w:rFonts w:ascii="Arial" w:hAnsi="Arial" w:cs="Arial"/>
        </w:rPr>
        <w:t xml:space="preserve"> Kasutatud 18.12.2023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05D62"/>
    <w:multiLevelType w:val="multilevel"/>
    <w:tmpl w:val="80CEEF1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A6C0D44"/>
    <w:multiLevelType w:val="multilevel"/>
    <w:tmpl w:val="4B7A0E0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FC6F99"/>
    <w:multiLevelType w:val="multilevel"/>
    <w:tmpl w:val="2B7A42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F251AB"/>
    <w:multiLevelType w:val="multilevel"/>
    <w:tmpl w:val="A0A66B42"/>
    <w:lvl w:ilvl="0">
      <w:start w:val="3"/>
      <w:numFmt w:val="decimal"/>
      <w:lvlText w:val="%1."/>
      <w:lvlJc w:val="left"/>
      <w:pPr>
        <w:ind w:left="360" w:hanging="360"/>
      </w:pPr>
      <w:rPr>
        <w:rFonts w:eastAsia="Times New Roman" w:cstheme="minorHAnsi" w:hint="default"/>
        <w:b/>
      </w:rPr>
    </w:lvl>
    <w:lvl w:ilvl="1">
      <w:start w:val="1"/>
      <w:numFmt w:val="decimal"/>
      <w:lvlText w:val="%1.%2."/>
      <w:lvlJc w:val="left"/>
      <w:pPr>
        <w:ind w:left="360" w:hanging="360"/>
      </w:pPr>
      <w:rPr>
        <w:rFonts w:eastAsia="Times New Roman" w:cstheme="minorHAnsi" w:hint="default"/>
        <w:b/>
      </w:rPr>
    </w:lvl>
    <w:lvl w:ilvl="2">
      <w:start w:val="1"/>
      <w:numFmt w:val="decimal"/>
      <w:lvlText w:val="%1.%2.%3."/>
      <w:lvlJc w:val="left"/>
      <w:pPr>
        <w:ind w:left="720" w:hanging="720"/>
      </w:pPr>
      <w:rPr>
        <w:rFonts w:eastAsia="Times New Roman" w:cstheme="minorHAnsi" w:hint="default"/>
        <w:b/>
      </w:rPr>
    </w:lvl>
    <w:lvl w:ilvl="3">
      <w:start w:val="1"/>
      <w:numFmt w:val="decimal"/>
      <w:lvlText w:val="%1.%2.%3.%4."/>
      <w:lvlJc w:val="left"/>
      <w:pPr>
        <w:ind w:left="720" w:hanging="720"/>
      </w:pPr>
      <w:rPr>
        <w:rFonts w:eastAsia="Times New Roman" w:cstheme="minorHAnsi" w:hint="default"/>
        <w:b/>
      </w:rPr>
    </w:lvl>
    <w:lvl w:ilvl="4">
      <w:start w:val="1"/>
      <w:numFmt w:val="decimal"/>
      <w:lvlText w:val="%1.%2.%3.%4.%5."/>
      <w:lvlJc w:val="left"/>
      <w:pPr>
        <w:ind w:left="1080" w:hanging="1080"/>
      </w:pPr>
      <w:rPr>
        <w:rFonts w:eastAsia="Times New Roman" w:cstheme="minorHAnsi" w:hint="default"/>
        <w:b/>
      </w:rPr>
    </w:lvl>
    <w:lvl w:ilvl="5">
      <w:start w:val="1"/>
      <w:numFmt w:val="decimal"/>
      <w:lvlText w:val="%1.%2.%3.%4.%5.%6."/>
      <w:lvlJc w:val="left"/>
      <w:pPr>
        <w:ind w:left="1080" w:hanging="1080"/>
      </w:pPr>
      <w:rPr>
        <w:rFonts w:eastAsia="Times New Roman" w:cstheme="minorHAnsi" w:hint="default"/>
        <w:b/>
      </w:rPr>
    </w:lvl>
    <w:lvl w:ilvl="6">
      <w:start w:val="1"/>
      <w:numFmt w:val="decimal"/>
      <w:lvlText w:val="%1.%2.%3.%4.%5.%6.%7."/>
      <w:lvlJc w:val="left"/>
      <w:pPr>
        <w:ind w:left="1440" w:hanging="1440"/>
      </w:pPr>
      <w:rPr>
        <w:rFonts w:eastAsia="Times New Roman" w:cstheme="minorHAnsi" w:hint="default"/>
        <w:b/>
      </w:rPr>
    </w:lvl>
    <w:lvl w:ilvl="7">
      <w:start w:val="1"/>
      <w:numFmt w:val="decimal"/>
      <w:lvlText w:val="%1.%2.%3.%4.%5.%6.%7.%8."/>
      <w:lvlJc w:val="left"/>
      <w:pPr>
        <w:ind w:left="1440" w:hanging="1440"/>
      </w:pPr>
      <w:rPr>
        <w:rFonts w:eastAsia="Times New Roman" w:cstheme="minorHAnsi" w:hint="default"/>
        <w:b/>
      </w:rPr>
    </w:lvl>
    <w:lvl w:ilvl="8">
      <w:start w:val="1"/>
      <w:numFmt w:val="decimal"/>
      <w:lvlText w:val="%1.%2.%3.%4.%5.%6.%7.%8.%9."/>
      <w:lvlJc w:val="left"/>
      <w:pPr>
        <w:ind w:left="1800" w:hanging="1800"/>
      </w:pPr>
      <w:rPr>
        <w:rFonts w:eastAsia="Times New Roman" w:cstheme="minorHAnsi" w:hint="default"/>
        <w:b/>
      </w:rPr>
    </w:lvl>
  </w:abstractNum>
  <w:abstractNum w:abstractNumId="4" w15:restartNumberingAfterBreak="0">
    <w:nsid w:val="2B6743B8"/>
    <w:multiLevelType w:val="multilevel"/>
    <w:tmpl w:val="48AC4BB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EF05E6B"/>
    <w:multiLevelType w:val="multilevel"/>
    <w:tmpl w:val="0D887AA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 w15:restartNumberingAfterBreak="0">
    <w:nsid w:val="351106A6"/>
    <w:multiLevelType w:val="multilevel"/>
    <w:tmpl w:val="48AC4BB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44F24AFD"/>
    <w:multiLevelType w:val="multilevel"/>
    <w:tmpl w:val="3D5C58F0"/>
    <w:lvl w:ilvl="0">
      <w:start w:val="2"/>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8" w15:restartNumberingAfterBreak="0">
    <w:nsid w:val="46822219"/>
    <w:multiLevelType w:val="multilevel"/>
    <w:tmpl w:val="C8B8F2F4"/>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9" w15:restartNumberingAfterBreak="0">
    <w:nsid w:val="4E206950"/>
    <w:multiLevelType w:val="hybridMultilevel"/>
    <w:tmpl w:val="DE6E9C4E"/>
    <w:lvl w:ilvl="0" w:tplc="159ECA2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E4501E9"/>
    <w:multiLevelType w:val="multilevel"/>
    <w:tmpl w:val="5128DCC6"/>
    <w:lvl w:ilvl="0">
      <w:start w:val="1"/>
      <w:numFmt w:val="lowerLetter"/>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4FAA637F"/>
    <w:multiLevelType w:val="multilevel"/>
    <w:tmpl w:val="48AC4BB0"/>
    <w:styleLink w:val="Praeguneloen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7226E16"/>
    <w:multiLevelType w:val="multilevel"/>
    <w:tmpl w:val="0108D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9C101C2"/>
    <w:multiLevelType w:val="multilevel"/>
    <w:tmpl w:val="5CD8286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5E9016DA"/>
    <w:multiLevelType w:val="hybridMultilevel"/>
    <w:tmpl w:val="EFF88F1C"/>
    <w:lvl w:ilvl="0" w:tplc="CBA2BF0E">
      <w:start w:val="1"/>
      <w:numFmt w:val="decimal"/>
      <w:suff w:val="space"/>
      <w:lvlText w:val="%1."/>
      <w:lvlJc w:val="left"/>
      <w:pPr>
        <w:ind w:left="0" w:firstLine="0"/>
      </w:pPr>
      <w:rPr>
        <w:b/>
        <w:bCs/>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5" w15:restartNumberingAfterBreak="0">
    <w:nsid w:val="7A295520"/>
    <w:multiLevelType w:val="hybridMultilevel"/>
    <w:tmpl w:val="0AF6EFC4"/>
    <w:lvl w:ilvl="0" w:tplc="04250019">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4037696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1085586">
    <w:abstractNumId w:val="10"/>
  </w:num>
  <w:num w:numId="3" w16cid:durableId="1652832990">
    <w:abstractNumId w:val="15"/>
  </w:num>
  <w:num w:numId="4" w16cid:durableId="20630198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7470400">
    <w:abstractNumId w:val="0"/>
  </w:num>
  <w:num w:numId="6" w16cid:durableId="168564318">
    <w:abstractNumId w:val="4"/>
  </w:num>
  <w:num w:numId="7" w16cid:durableId="413090061">
    <w:abstractNumId w:val="8"/>
  </w:num>
  <w:num w:numId="8" w16cid:durableId="1323849554">
    <w:abstractNumId w:val="11"/>
  </w:num>
  <w:num w:numId="9" w16cid:durableId="1454252797">
    <w:abstractNumId w:val="5"/>
  </w:num>
  <w:num w:numId="10" w16cid:durableId="1150364478">
    <w:abstractNumId w:val="7"/>
  </w:num>
  <w:num w:numId="11" w16cid:durableId="371881622">
    <w:abstractNumId w:val="3"/>
  </w:num>
  <w:num w:numId="12" w16cid:durableId="1037852050">
    <w:abstractNumId w:val="1"/>
  </w:num>
  <w:num w:numId="13" w16cid:durableId="1151946629">
    <w:abstractNumId w:val="2"/>
  </w:num>
  <w:num w:numId="14" w16cid:durableId="1670674659">
    <w:abstractNumId w:val="12"/>
  </w:num>
  <w:num w:numId="15" w16cid:durableId="1352221613">
    <w:abstractNumId w:val="13"/>
  </w:num>
  <w:num w:numId="16" w16cid:durableId="911424392">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3C2"/>
    <w:rsid w:val="00012F8D"/>
    <w:rsid w:val="00034088"/>
    <w:rsid w:val="00047243"/>
    <w:rsid w:val="000E5DF3"/>
    <w:rsid w:val="0015005E"/>
    <w:rsid w:val="00194D8B"/>
    <w:rsid w:val="001C63C2"/>
    <w:rsid w:val="00205C95"/>
    <w:rsid w:val="002170CC"/>
    <w:rsid w:val="002732F3"/>
    <w:rsid w:val="002A5C82"/>
    <w:rsid w:val="002B2866"/>
    <w:rsid w:val="002E2B59"/>
    <w:rsid w:val="002E64D1"/>
    <w:rsid w:val="002E7E11"/>
    <w:rsid w:val="00300F3F"/>
    <w:rsid w:val="00303E87"/>
    <w:rsid w:val="003952E1"/>
    <w:rsid w:val="003C5E23"/>
    <w:rsid w:val="003F380D"/>
    <w:rsid w:val="00436B81"/>
    <w:rsid w:val="0047780C"/>
    <w:rsid w:val="004B0539"/>
    <w:rsid w:val="004E0F82"/>
    <w:rsid w:val="004F57C0"/>
    <w:rsid w:val="00504EAB"/>
    <w:rsid w:val="00533A85"/>
    <w:rsid w:val="00555C3B"/>
    <w:rsid w:val="005972A3"/>
    <w:rsid w:val="005B0A64"/>
    <w:rsid w:val="006064F6"/>
    <w:rsid w:val="00612C5C"/>
    <w:rsid w:val="00614756"/>
    <w:rsid w:val="00677519"/>
    <w:rsid w:val="006C0638"/>
    <w:rsid w:val="007259FB"/>
    <w:rsid w:val="00736AE6"/>
    <w:rsid w:val="00747677"/>
    <w:rsid w:val="00770E59"/>
    <w:rsid w:val="007B3109"/>
    <w:rsid w:val="00833A09"/>
    <w:rsid w:val="008410A7"/>
    <w:rsid w:val="008462EF"/>
    <w:rsid w:val="00887D4D"/>
    <w:rsid w:val="008A4F70"/>
    <w:rsid w:val="008F715E"/>
    <w:rsid w:val="00917691"/>
    <w:rsid w:val="009657BF"/>
    <w:rsid w:val="009825CA"/>
    <w:rsid w:val="009F21CC"/>
    <w:rsid w:val="009F7B04"/>
    <w:rsid w:val="00A15DCA"/>
    <w:rsid w:val="00A24FA7"/>
    <w:rsid w:val="00A34685"/>
    <w:rsid w:val="00A4395E"/>
    <w:rsid w:val="00AD606C"/>
    <w:rsid w:val="00AE09C2"/>
    <w:rsid w:val="00B059DC"/>
    <w:rsid w:val="00B12FA0"/>
    <w:rsid w:val="00B237E8"/>
    <w:rsid w:val="00B451BE"/>
    <w:rsid w:val="00BA457C"/>
    <w:rsid w:val="00C016EA"/>
    <w:rsid w:val="00C45276"/>
    <w:rsid w:val="00C5378E"/>
    <w:rsid w:val="00C91B0F"/>
    <w:rsid w:val="00CE28C2"/>
    <w:rsid w:val="00DE04D7"/>
    <w:rsid w:val="00E02280"/>
    <w:rsid w:val="00E90B5C"/>
    <w:rsid w:val="00ED3978"/>
    <w:rsid w:val="00ED4D2E"/>
    <w:rsid w:val="00EE2E86"/>
    <w:rsid w:val="00EF0375"/>
    <w:rsid w:val="00F21B29"/>
    <w:rsid w:val="00F61072"/>
    <w:rsid w:val="00F828D3"/>
    <w:rsid w:val="00FF7E6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418F5"/>
  <w15:chartTrackingRefBased/>
  <w15:docId w15:val="{6153F1E0-637A-4AD4-AF21-8C37F7691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2170CC"/>
    <w:pPr>
      <w:ind w:left="720"/>
      <w:contextualSpacing/>
    </w:pPr>
  </w:style>
  <w:style w:type="character" w:styleId="Kohatitetekst">
    <w:name w:val="Placeholder Text"/>
    <w:basedOn w:val="Liguvaikefont"/>
    <w:uiPriority w:val="99"/>
    <w:semiHidden/>
    <w:rsid w:val="00EE2E86"/>
    <w:rPr>
      <w:color w:val="808080"/>
    </w:rPr>
  </w:style>
  <w:style w:type="character" w:styleId="Hperlink">
    <w:name w:val="Hyperlink"/>
    <w:basedOn w:val="Liguvaikefont"/>
    <w:uiPriority w:val="99"/>
    <w:unhideWhenUsed/>
    <w:rsid w:val="002E2B59"/>
    <w:rPr>
      <w:color w:val="0563C1" w:themeColor="hyperlink"/>
      <w:u w:val="single"/>
    </w:rPr>
  </w:style>
  <w:style w:type="character" w:styleId="Lahendamatamainimine">
    <w:name w:val="Unresolved Mention"/>
    <w:basedOn w:val="Liguvaikefont"/>
    <w:uiPriority w:val="99"/>
    <w:semiHidden/>
    <w:unhideWhenUsed/>
    <w:rsid w:val="002E2B59"/>
    <w:rPr>
      <w:color w:val="605E5C"/>
      <w:shd w:val="clear" w:color="auto" w:fill="E1DFDD"/>
    </w:rPr>
  </w:style>
  <w:style w:type="paragraph" w:customStyle="1" w:styleId="TableContents">
    <w:name w:val="Table Contents"/>
    <w:basedOn w:val="Normaallaad"/>
    <w:rsid w:val="005B0A64"/>
    <w:pPr>
      <w:widowControl w:val="0"/>
      <w:suppressLineNumbers/>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Pis">
    <w:name w:val="header"/>
    <w:basedOn w:val="Normaallaad"/>
    <w:link w:val="PisMrk"/>
    <w:uiPriority w:val="99"/>
    <w:unhideWhenUsed/>
    <w:rsid w:val="00DE04D7"/>
    <w:pPr>
      <w:tabs>
        <w:tab w:val="center" w:pos="4536"/>
        <w:tab w:val="right" w:pos="9072"/>
      </w:tabs>
      <w:spacing w:after="0" w:line="240" w:lineRule="auto"/>
    </w:pPr>
  </w:style>
  <w:style w:type="character" w:customStyle="1" w:styleId="PisMrk">
    <w:name w:val="Päis Märk"/>
    <w:basedOn w:val="Liguvaikefont"/>
    <w:link w:val="Pis"/>
    <w:uiPriority w:val="99"/>
    <w:rsid w:val="00DE04D7"/>
  </w:style>
  <w:style w:type="paragraph" w:styleId="Jalus">
    <w:name w:val="footer"/>
    <w:basedOn w:val="Normaallaad"/>
    <w:link w:val="JalusMrk"/>
    <w:uiPriority w:val="99"/>
    <w:unhideWhenUsed/>
    <w:rsid w:val="00DE04D7"/>
    <w:pPr>
      <w:tabs>
        <w:tab w:val="center" w:pos="4536"/>
        <w:tab w:val="right" w:pos="9072"/>
      </w:tabs>
      <w:spacing w:after="0" w:line="240" w:lineRule="auto"/>
    </w:pPr>
  </w:style>
  <w:style w:type="character" w:customStyle="1" w:styleId="JalusMrk">
    <w:name w:val="Jalus Märk"/>
    <w:basedOn w:val="Liguvaikefont"/>
    <w:link w:val="Jalus"/>
    <w:uiPriority w:val="99"/>
    <w:rsid w:val="00DE04D7"/>
  </w:style>
  <w:style w:type="paragraph" w:styleId="Allmrkusetekst">
    <w:name w:val="footnote text"/>
    <w:basedOn w:val="Normaallaad"/>
    <w:link w:val="AllmrkusetekstMrk"/>
    <w:uiPriority w:val="99"/>
    <w:semiHidden/>
    <w:unhideWhenUsed/>
    <w:rsid w:val="009F7B04"/>
    <w:pPr>
      <w:spacing w:after="0" w:line="240" w:lineRule="auto"/>
    </w:pPr>
    <w:rPr>
      <w:rFonts w:ascii="Verdana" w:eastAsia="Calibri" w:hAnsi="Verdana" w:cs="Times New Roman"/>
      <w:sz w:val="20"/>
      <w:szCs w:val="20"/>
    </w:rPr>
  </w:style>
  <w:style w:type="character" w:customStyle="1" w:styleId="AllmrkusetekstMrk">
    <w:name w:val="Allmärkuse tekst Märk"/>
    <w:basedOn w:val="Liguvaikefont"/>
    <w:link w:val="Allmrkusetekst"/>
    <w:uiPriority w:val="99"/>
    <w:semiHidden/>
    <w:rsid w:val="009F7B04"/>
    <w:rPr>
      <w:rFonts w:ascii="Verdana" w:eastAsia="Calibri" w:hAnsi="Verdana" w:cs="Times New Roman"/>
      <w:sz w:val="20"/>
      <w:szCs w:val="20"/>
    </w:rPr>
  </w:style>
  <w:style w:type="character" w:styleId="Allmrkuseviide">
    <w:name w:val="footnote reference"/>
    <w:basedOn w:val="Liguvaikefont"/>
    <w:uiPriority w:val="99"/>
    <w:semiHidden/>
    <w:unhideWhenUsed/>
    <w:rsid w:val="009F7B04"/>
    <w:rPr>
      <w:vertAlign w:val="superscript"/>
    </w:rPr>
  </w:style>
  <w:style w:type="numbering" w:customStyle="1" w:styleId="Praeguneloend1">
    <w:name w:val="Praegune loend1"/>
    <w:uiPriority w:val="99"/>
    <w:rsid w:val="003C5E23"/>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1631">
      <w:bodyDiv w:val="1"/>
      <w:marLeft w:val="0"/>
      <w:marRight w:val="0"/>
      <w:marTop w:val="0"/>
      <w:marBottom w:val="0"/>
      <w:divBdr>
        <w:top w:val="none" w:sz="0" w:space="0" w:color="auto"/>
        <w:left w:val="none" w:sz="0" w:space="0" w:color="auto"/>
        <w:bottom w:val="none" w:sz="0" w:space="0" w:color="auto"/>
        <w:right w:val="none" w:sz="0" w:space="0" w:color="auto"/>
      </w:divBdr>
    </w:div>
    <w:div w:id="23293055">
      <w:bodyDiv w:val="1"/>
      <w:marLeft w:val="0"/>
      <w:marRight w:val="0"/>
      <w:marTop w:val="0"/>
      <w:marBottom w:val="0"/>
      <w:divBdr>
        <w:top w:val="none" w:sz="0" w:space="0" w:color="auto"/>
        <w:left w:val="none" w:sz="0" w:space="0" w:color="auto"/>
        <w:bottom w:val="none" w:sz="0" w:space="0" w:color="auto"/>
        <w:right w:val="none" w:sz="0" w:space="0" w:color="auto"/>
      </w:divBdr>
    </w:div>
    <w:div w:id="234900002">
      <w:bodyDiv w:val="1"/>
      <w:marLeft w:val="0"/>
      <w:marRight w:val="0"/>
      <w:marTop w:val="0"/>
      <w:marBottom w:val="0"/>
      <w:divBdr>
        <w:top w:val="none" w:sz="0" w:space="0" w:color="auto"/>
        <w:left w:val="none" w:sz="0" w:space="0" w:color="auto"/>
        <w:bottom w:val="none" w:sz="0" w:space="0" w:color="auto"/>
        <w:right w:val="none" w:sz="0" w:space="0" w:color="auto"/>
      </w:divBdr>
    </w:div>
    <w:div w:id="241644243">
      <w:bodyDiv w:val="1"/>
      <w:marLeft w:val="0"/>
      <w:marRight w:val="0"/>
      <w:marTop w:val="0"/>
      <w:marBottom w:val="0"/>
      <w:divBdr>
        <w:top w:val="none" w:sz="0" w:space="0" w:color="auto"/>
        <w:left w:val="none" w:sz="0" w:space="0" w:color="auto"/>
        <w:bottom w:val="none" w:sz="0" w:space="0" w:color="auto"/>
        <w:right w:val="none" w:sz="0" w:space="0" w:color="auto"/>
      </w:divBdr>
    </w:div>
    <w:div w:id="304894380">
      <w:bodyDiv w:val="1"/>
      <w:marLeft w:val="0"/>
      <w:marRight w:val="0"/>
      <w:marTop w:val="0"/>
      <w:marBottom w:val="0"/>
      <w:divBdr>
        <w:top w:val="none" w:sz="0" w:space="0" w:color="auto"/>
        <w:left w:val="none" w:sz="0" w:space="0" w:color="auto"/>
        <w:bottom w:val="none" w:sz="0" w:space="0" w:color="auto"/>
        <w:right w:val="none" w:sz="0" w:space="0" w:color="auto"/>
      </w:divBdr>
    </w:div>
    <w:div w:id="306470732">
      <w:bodyDiv w:val="1"/>
      <w:marLeft w:val="0"/>
      <w:marRight w:val="0"/>
      <w:marTop w:val="0"/>
      <w:marBottom w:val="0"/>
      <w:divBdr>
        <w:top w:val="none" w:sz="0" w:space="0" w:color="auto"/>
        <w:left w:val="none" w:sz="0" w:space="0" w:color="auto"/>
        <w:bottom w:val="none" w:sz="0" w:space="0" w:color="auto"/>
        <w:right w:val="none" w:sz="0" w:space="0" w:color="auto"/>
      </w:divBdr>
    </w:div>
    <w:div w:id="487287736">
      <w:bodyDiv w:val="1"/>
      <w:marLeft w:val="0"/>
      <w:marRight w:val="0"/>
      <w:marTop w:val="0"/>
      <w:marBottom w:val="0"/>
      <w:divBdr>
        <w:top w:val="none" w:sz="0" w:space="0" w:color="auto"/>
        <w:left w:val="none" w:sz="0" w:space="0" w:color="auto"/>
        <w:bottom w:val="none" w:sz="0" w:space="0" w:color="auto"/>
        <w:right w:val="none" w:sz="0" w:space="0" w:color="auto"/>
      </w:divBdr>
    </w:div>
    <w:div w:id="509494157">
      <w:bodyDiv w:val="1"/>
      <w:marLeft w:val="0"/>
      <w:marRight w:val="0"/>
      <w:marTop w:val="0"/>
      <w:marBottom w:val="0"/>
      <w:divBdr>
        <w:top w:val="none" w:sz="0" w:space="0" w:color="auto"/>
        <w:left w:val="none" w:sz="0" w:space="0" w:color="auto"/>
        <w:bottom w:val="none" w:sz="0" w:space="0" w:color="auto"/>
        <w:right w:val="none" w:sz="0" w:space="0" w:color="auto"/>
      </w:divBdr>
    </w:div>
    <w:div w:id="573779291">
      <w:bodyDiv w:val="1"/>
      <w:marLeft w:val="0"/>
      <w:marRight w:val="0"/>
      <w:marTop w:val="0"/>
      <w:marBottom w:val="0"/>
      <w:divBdr>
        <w:top w:val="none" w:sz="0" w:space="0" w:color="auto"/>
        <w:left w:val="none" w:sz="0" w:space="0" w:color="auto"/>
        <w:bottom w:val="none" w:sz="0" w:space="0" w:color="auto"/>
        <w:right w:val="none" w:sz="0" w:space="0" w:color="auto"/>
      </w:divBdr>
    </w:div>
    <w:div w:id="633872122">
      <w:bodyDiv w:val="1"/>
      <w:marLeft w:val="0"/>
      <w:marRight w:val="0"/>
      <w:marTop w:val="0"/>
      <w:marBottom w:val="0"/>
      <w:divBdr>
        <w:top w:val="none" w:sz="0" w:space="0" w:color="auto"/>
        <w:left w:val="none" w:sz="0" w:space="0" w:color="auto"/>
        <w:bottom w:val="none" w:sz="0" w:space="0" w:color="auto"/>
        <w:right w:val="none" w:sz="0" w:space="0" w:color="auto"/>
      </w:divBdr>
    </w:div>
    <w:div w:id="644164397">
      <w:bodyDiv w:val="1"/>
      <w:marLeft w:val="0"/>
      <w:marRight w:val="0"/>
      <w:marTop w:val="0"/>
      <w:marBottom w:val="0"/>
      <w:divBdr>
        <w:top w:val="none" w:sz="0" w:space="0" w:color="auto"/>
        <w:left w:val="none" w:sz="0" w:space="0" w:color="auto"/>
        <w:bottom w:val="none" w:sz="0" w:space="0" w:color="auto"/>
        <w:right w:val="none" w:sz="0" w:space="0" w:color="auto"/>
      </w:divBdr>
    </w:div>
    <w:div w:id="714935633">
      <w:bodyDiv w:val="1"/>
      <w:marLeft w:val="0"/>
      <w:marRight w:val="0"/>
      <w:marTop w:val="0"/>
      <w:marBottom w:val="0"/>
      <w:divBdr>
        <w:top w:val="none" w:sz="0" w:space="0" w:color="auto"/>
        <w:left w:val="none" w:sz="0" w:space="0" w:color="auto"/>
        <w:bottom w:val="none" w:sz="0" w:space="0" w:color="auto"/>
        <w:right w:val="none" w:sz="0" w:space="0" w:color="auto"/>
      </w:divBdr>
    </w:div>
    <w:div w:id="822162249">
      <w:bodyDiv w:val="1"/>
      <w:marLeft w:val="0"/>
      <w:marRight w:val="0"/>
      <w:marTop w:val="0"/>
      <w:marBottom w:val="0"/>
      <w:divBdr>
        <w:top w:val="none" w:sz="0" w:space="0" w:color="auto"/>
        <w:left w:val="none" w:sz="0" w:space="0" w:color="auto"/>
        <w:bottom w:val="none" w:sz="0" w:space="0" w:color="auto"/>
        <w:right w:val="none" w:sz="0" w:space="0" w:color="auto"/>
      </w:divBdr>
    </w:div>
    <w:div w:id="870534416">
      <w:bodyDiv w:val="1"/>
      <w:marLeft w:val="0"/>
      <w:marRight w:val="0"/>
      <w:marTop w:val="0"/>
      <w:marBottom w:val="0"/>
      <w:divBdr>
        <w:top w:val="none" w:sz="0" w:space="0" w:color="auto"/>
        <w:left w:val="none" w:sz="0" w:space="0" w:color="auto"/>
        <w:bottom w:val="none" w:sz="0" w:space="0" w:color="auto"/>
        <w:right w:val="none" w:sz="0" w:space="0" w:color="auto"/>
      </w:divBdr>
    </w:div>
    <w:div w:id="985862540">
      <w:bodyDiv w:val="1"/>
      <w:marLeft w:val="0"/>
      <w:marRight w:val="0"/>
      <w:marTop w:val="0"/>
      <w:marBottom w:val="0"/>
      <w:divBdr>
        <w:top w:val="none" w:sz="0" w:space="0" w:color="auto"/>
        <w:left w:val="none" w:sz="0" w:space="0" w:color="auto"/>
        <w:bottom w:val="none" w:sz="0" w:space="0" w:color="auto"/>
        <w:right w:val="none" w:sz="0" w:space="0" w:color="auto"/>
      </w:divBdr>
    </w:div>
    <w:div w:id="1013535818">
      <w:bodyDiv w:val="1"/>
      <w:marLeft w:val="0"/>
      <w:marRight w:val="0"/>
      <w:marTop w:val="0"/>
      <w:marBottom w:val="0"/>
      <w:divBdr>
        <w:top w:val="none" w:sz="0" w:space="0" w:color="auto"/>
        <w:left w:val="none" w:sz="0" w:space="0" w:color="auto"/>
        <w:bottom w:val="none" w:sz="0" w:space="0" w:color="auto"/>
        <w:right w:val="none" w:sz="0" w:space="0" w:color="auto"/>
      </w:divBdr>
    </w:div>
    <w:div w:id="1022898540">
      <w:bodyDiv w:val="1"/>
      <w:marLeft w:val="0"/>
      <w:marRight w:val="0"/>
      <w:marTop w:val="0"/>
      <w:marBottom w:val="0"/>
      <w:divBdr>
        <w:top w:val="none" w:sz="0" w:space="0" w:color="auto"/>
        <w:left w:val="none" w:sz="0" w:space="0" w:color="auto"/>
        <w:bottom w:val="none" w:sz="0" w:space="0" w:color="auto"/>
        <w:right w:val="none" w:sz="0" w:space="0" w:color="auto"/>
      </w:divBdr>
    </w:div>
    <w:div w:id="1167524955">
      <w:bodyDiv w:val="1"/>
      <w:marLeft w:val="0"/>
      <w:marRight w:val="0"/>
      <w:marTop w:val="0"/>
      <w:marBottom w:val="0"/>
      <w:divBdr>
        <w:top w:val="none" w:sz="0" w:space="0" w:color="auto"/>
        <w:left w:val="none" w:sz="0" w:space="0" w:color="auto"/>
        <w:bottom w:val="none" w:sz="0" w:space="0" w:color="auto"/>
        <w:right w:val="none" w:sz="0" w:space="0" w:color="auto"/>
      </w:divBdr>
    </w:div>
    <w:div w:id="1295257884">
      <w:bodyDiv w:val="1"/>
      <w:marLeft w:val="0"/>
      <w:marRight w:val="0"/>
      <w:marTop w:val="0"/>
      <w:marBottom w:val="0"/>
      <w:divBdr>
        <w:top w:val="none" w:sz="0" w:space="0" w:color="auto"/>
        <w:left w:val="none" w:sz="0" w:space="0" w:color="auto"/>
        <w:bottom w:val="none" w:sz="0" w:space="0" w:color="auto"/>
        <w:right w:val="none" w:sz="0" w:space="0" w:color="auto"/>
      </w:divBdr>
    </w:div>
    <w:div w:id="1358580467">
      <w:bodyDiv w:val="1"/>
      <w:marLeft w:val="0"/>
      <w:marRight w:val="0"/>
      <w:marTop w:val="0"/>
      <w:marBottom w:val="0"/>
      <w:divBdr>
        <w:top w:val="none" w:sz="0" w:space="0" w:color="auto"/>
        <w:left w:val="none" w:sz="0" w:space="0" w:color="auto"/>
        <w:bottom w:val="none" w:sz="0" w:space="0" w:color="auto"/>
        <w:right w:val="none" w:sz="0" w:space="0" w:color="auto"/>
      </w:divBdr>
    </w:div>
    <w:div w:id="1417434799">
      <w:bodyDiv w:val="1"/>
      <w:marLeft w:val="0"/>
      <w:marRight w:val="0"/>
      <w:marTop w:val="0"/>
      <w:marBottom w:val="0"/>
      <w:divBdr>
        <w:top w:val="none" w:sz="0" w:space="0" w:color="auto"/>
        <w:left w:val="none" w:sz="0" w:space="0" w:color="auto"/>
        <w:bottom w:val="none" w:sz="0" w:space="0" w:color="auto"/>
        <w:right w:val="none" w:sz="0" w:space="0" w:color="auto"/>
      </w:divBdr>
    </w:div>
    <w:div w:id="1542400677">
      <w:bodyDiv w:val="1"/>
      <w:marLeft w:val="0"/>
      <w:marRight w:val="0"/>
      <w:marTop w:val="0"/>
      <w:marBottom w:val="0"/>
      <w:divBdr>
        <w:top w:val="none" w:sz="0" w:space="0" w:color="auto"/>
        <w:left w:val="none" w:sz="0" w:space="0" w:color="auto"/>
        <w:bottom w:val="none" w:sz="0" w:space="0" w:color="auto"/>
        <w:right w:val="none" w:sz="0" w:space="0" w:color="auto"/>
      </w:divBdr>
    </w:div>
    <w:div w:id="1574507769">
      <w:bodyDiv w:val="1"/>
      <w:marLeft w:val="0"/>
      <w:marRight w:val="0"/>
      <w:marTop w:val="0"/>
      <w:marBottom w:val="0"/>
      <w:divBdr>
        <w:top w:val="none" w:sz="0" w:space="0" w:color="auto"/>
        <w:left w:val="none" w:sz="0" w:space="0" w:color="auto"/>
        <w:bottom w:val="none" w:sz="0" w:space="0" w:color="auto"/>
        <w:right w:val="none" w:sz="0" w:space="0" w:color="auto"/>
      </w:divBdr>
    </w:div>
    <w:div w:id="1695961261">
      <w:bodyDiv w:val="1"/>
      <w:marLeft w:val="0"/>
      <w:marRight w:val="0"/>
      <w:marTop w:val="0"/>
      <w:marBottom w:val="0"/>
      <w:divBdr>
        <w:top w:val="none" w:sz="0" w:space="0" w:color="auto"/>
        <w:left w:val="none" w:sz="0" w:space="0" w:color="auto"/>
        <w:bottom w:val="none" w:sz="0" w:space="0" w:color="auto"/>
        <w:right w:val="none" w:sz="0" w:space="0" w:color="auto"/>
      </w:divBdr>
    </w:div>
    <w:div w:id="1741099310">
      <w:bodyDiv w:val="1"/>
      <w:marLeft w:val="0"/>
      <w:marRight w:val="0"/>
      <w:marTop w:val="0"/>
      <w:marBottom w:val="0"/>
      <w:divBdr>
        <w:top w:val="none" w:sz="0" w:space="0" w:color="auto"/>
        <w:left w:val="none" w:sz="0" w:space="0" w:color="auto"/>
        <w:bottom w:val="none" w:sz="0" w:space="0" w:color="auto"/>
        <w:right w:val="none" w:sz="0" w:space="0" w:color="auto"/>
      </w:divBdr>
    </w:div>
    <w:div w:id="185391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file:///C:\Users\kristi.asser\Downloads\Guidelines%2520on%2520shaping%2520technology%2520according%2520to%2520GDPR%2520provisions.pdf" TargetMode="External"/><Relationship Id="rId2" Type="http://schemas.openxmlformats.org/officeDocument/2006/relationships/hyperlink" Target="https://www.tlu.ee/sites/default/files/TUKO/veeb/failid/Andmekaitse_juhend_Isikuandmete_tootlemine_teadustoos_092022_final.pdf" TargetMode="External"/><Relationship Id="rId1" Type="http://schemas.openxmlformats.org/officeDocument/2006/relationships/hyperlink" Target="https://www.riigiteataja.ee/akt/104012019011%23para6"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2018</Words>
  <Characters>11708</Characters>
  <Application>Microsoft Office Word</Application>
  <DocSecurity>0</DocSecurity>
  <Lines>97</Lines>
  <Paragraphs>27</Paragraphs>
  <ScaleCrop>false</ScaleCrop>
  <HeadingPairs>
    <vt:vector size="2" baseType="variant">
      <vt:variant>
        <vt:lpstr>Pealkiri</vt:lpstr>
      </vt:variant>
      <vt:variant>
        <vt:i4>1</vt:i4>
      </vt:variant>
    </vt:vector>
  </HeadingPairs>
  <TitlesOfParts>
    <vt:vector size="1" baseType="lpstr">
      <vt:lpstr/>
    </vt:vector>
  </TitlesOfParts>
  <Company>IT</Company>
  <LinksUpToDate>false</LinksUpToDate>
  <CharactersWithSpaces>13699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Mariko Männa</dc:creator>
  <cp:keywords/>
  <dc:description/>
  <cp:lastModifiedBy>Marion Pajumets</cp:lastModifiedBy>
  <cp:revision>11</cp:revision>
  <dcterms:created xsi:type="dcterms:W3CDTF">2024-01-05T15:33:00Z</dcterms:created>
  <dcterms:modified xsi:type="dcterms:W3CDTF">2024-01-05T16:12:00Z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beginDate">
    <vt:lpwstr>{toimumise kuupäev}</vt:lpwstr>
  </property>
  <property fmtid="{D5CDD505-2E9C-101B-9397-08002B2CF9AE}" pid="3" name="delta_accessRestrictionBeginDate">
    <vt:lpwstr>{kehtivuse algus}</vt:lpwstr>
  </property>
  <property fmtid="{D5CDD505-2E9C-101B-9397-08002B2CF9AE}" pid="4" name="delta_accessRestrictionEndDate">
    <vt:lpwstr>{kehtivuse lõpp}</vt:lpwstr>
  </property>
  <property fmtid="{D5CDD505-2E9C-101B-9397-08002B2CF9AE}" pid="5" name="delta_accessRestrictionReason">
    <vt:lpwstr>{alus}</vt:lpwstr>
  </property>
</Properties>
</file>